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Liegt das Berechnungsergebnis für den klinischen Teil des Studiengangs Medizin niedriger als das Berechnungsergebnis für den vorklinischen Teil des Studiengangs, kann die Zulassungszahl für den Studiengang Medizin nur dann höher als das Berechnungsergebnis für den klinischen Teil festgesetzt werden, wenn das Ministerium für Wissenschaft und Forschung die Fortsetzung des Studiums nach dem vorklinischen Teil gewährleisten kann. Ist der klinische Teil des Studiengangs an einer Hochschule nicht vorhanden, gilt Satz 1 entsprechend.</w:t>
      </w:r>
    </w:p>
    <w:p>
      <w:r>
        <w:t xml:space="preserve">(2) Soweit die Fortsetzung des Studiums nach dem vorklinischen Teil nicht gewährleistet werden kann, ist die Differenz zwischen der nach Absatz 1 festgesetzten Zulassungszahl und dem nach dem Dritten Abschnitt überprüften Berechnungsergebnis für den vorklinischen Teil des Studiengangs als gesonderte Zulassungszahl festzusetzen.</w:t>
      </w:r>
    </w:p>
    <w:p>
      <w:r>
        <w:t xml:space="preserve">(3) Liegt das Berechnungsergebnis für den vorklinischen Teil des Studiengangs Medizin niedriger als das für den klinischen Teil des Studiengangs, wird die Zulassungszahl nach dem Berechnungsergebnis des vorklinischen Teils festgesetzt.</w:t>
      </w:r>
    </w:p>
    <w:p>
      <w:r>
        <w:rPr>
          <w:color w:val="555555"/>
          <w:sz w:val="17"/>
        </w:rPr>
        <w:t xml:space="preserve">Zitiervorschlag: § 18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