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Dienstleistungen einer Lehreinheit sind die Lehrveranstaltungsstunden, die die Lehreinheit für nicht zugeordnete Studiengänge zu erbringen hat.</w:t>
      </w:r>
    </w:p>
    <w:p>
      <w:r>
        <w:t xml:space="preserve">(2) Zur Berechnung des Bedarfs an Dienstleistungen sind Studienanfängerzahlen für die nicht zugeordneten Studiengänge anzusetzen, wobei die voraussichtlichen Zulassungszahlen für diese Studiengänge und/oder die bisherige Entwicklung der Studienanfängerzahlen zu berücksichtigen sind.</w:t>
      </w:r>
    </w:p>
    <w:p>
      <w:r>
        <w:rPr>
          <w:color w:val="555555"/>
          <w:sz w:val="17"/>
        </w:rPr>
        <w:t xml:space="preserve">Zitiervorschlag: § 11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