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KapV (Brandenburg)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Sie gilt erstmals für die Festsetzung von Zulassungszahlen für das Wintersemester 2012/13. Gleichzeitig tritt die Kapazitätsverordnung vom 30. Juni 1994 ( GVBl. II S. 588), die zuletzt durch Artikel 2 Absatz 7 des Gesetzes vom 18. Dezember 2008 (GVBl. I S. 318) geändert worden ist, außer Kraft.</w:t>
      </w:r>
    </w:p>
    <w:p>
      <w:r>
        <w:t xml:space="preserve">Potsdam, den 16. Februar 2012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Prof. Dr.-Ing. Dr. Sabine Kunst</w:t>
      </w:r>
    </w:p>
    <w:p>
      <w:r>
        <w:rPr>
          <w:color w:val="555555"/>
          <w:sz w:val="17"/>
        </w:rPr>
        <w:t xml:space="preserve">Zitiervorschlag: § 16 KapV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