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Curricularnormwert bestimmt den in Deputatstunden gemessenen Aufwand aller beteiligten Lehreinheiten, der für die ordnungsgemäße Ausbildung eines Studierenden in dem jeweiligen Studiengang erforderlich ist. Bei der Berechnung der jährlichen Aufnahmekapazität sind die in Anlage 2 aufgeführten Curricularnormwerte anzuwenden.</w:t>
      </w:r>
    </w:p>
    <w:p>
      <w:r>
        <w:t xml:space="preserve">(2) Bei Studiengangkombinationen sind die in Anlage 2 aufgeführten Curricularnormwerte unter Berücksichtigung der Ausbildungsstruktur, des Anteils des jeweiligen Studiengangs am Gesamtstudium und der Studiendauer entsprechend der Studienordnung aufzuteilen.</w:t>
      </w:r>
    </w:p>
    <w:p>
      <w:r>
        <w:t xml:space="preserve">(3) Ist für einen Studiengang ein Curricularnormwert in Anlage 2 nicht aufgeführt, wird von der für die Hochschulen zuständigen obersten Landesbehörde im Benehmen mit der Hochschule ein Curricularnormwert festgelegt.</w:t>
      </w:r>
    </w:p>
    <w:p>
      <w:r>
        <w:t xml:space="preserve">(4) Zur Ermittlung der Lehrnachfrage in den einzelnen Lehreinheiten wird der Curricularnormwert auf die am Lehrangebot für den Studiengang beteiligten Lehreinheiten aufgeteilt (Bildung von Curricularanteilen). Die Angaben für die beteiligten Lehreinheiten sind aufeinander abzustimmen. Hilfsweise gilt die bisherige Verteilung des Lehrangebots.</w:t>
      </w:r>
    </w:p>
    <w:p>
      <w:r>
        <w:rPr>
          <w:color w:val="555555"/>
          <w:sz w:val="17"/>
        </w:rPr>
        <w:t xml:space="preserve">Zitiervorschlag: § 11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