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KapV (Brandenburg)</w:t>
      </w:r>
    </w:p>
    <w:p>
      <w:r>
        <w:rPr>
          <w:color w:val="555555"/>
          <w:sz w:val="18"/>
        </w:rPr>
        <w:t xml:space="preserve">Kapazitätsverordnung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Festsetzung der Zulassungszahlen nach § 12 des Brandenburgischen Hochschulgesetzes in Verbindung mit § 2 geht die Überprüfung voraus, ob im Rahmen der verfügbaren Mittel die Möglichkeiten zur Nutzung der vorhandenen Ausbildungskapazität ausgeschöpft worden sind. Hierzu wird die jährliche Aufnahmekapazität in zwei Verfahrensschritten ermittelt:</w:t>
      </w:r>
    </w:p>
    <w:p>
      <w:r>
        <w:t xml:space="preserve">Berechnung auf Grund der personellen Ausstattung nach den Vorschriften des Abschnitts 2;</w:t>
      </w:r>
    </w:p>
    <w:p>
      <w:r>
        <w:t xml:space="preserve">Überprüfung des Ergebnisses nach Nummer 1 anhand der weiteren kapazitätsbestimmenden Kriterien nach den Vorschriften des Abschnitts 3.</w:t>
      </w:r>
    </w:p>
    <w:p>
      <w:r>
        <w:t xml:space="preserve">(2) Maßnahmen, die gemäß § 12 Absatz 4 des Brandenburgischen Hochschulgesetzes bei der Feststellung der Aufnahmekapazität unberücksichtigt bleiben, sind gesondert auszuweisen.</w:t>
      </w:r>
    </w:p>
    <w:p>
      <w:r>
        <w:rPr>
          <w:color w:val="555555"/>
          <w:sz w:val="17"/>
        </w:rPr>
        <w:t xml:space="preserve">Zitiervorschlag: § 1 KapV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