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KapResV</w:t>
      </w:r>
    </w:p>
    <w:p>
      <w:r>
        <w:rPr>
          <w:color w:val="555555"/>
          <w:sz w:val="18"/>
        </w:rPr>
        <w:t xml:space="preserve">Kapazitätsreserveverordnung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13h des Energiewirtschaftsgesetzes vom 7. Juli 2005 (BGBl. I S. 1970, 3621), dessen Absätze 1 und 2 zuletzt durch Artikel 3 Nummer 7 Buchstabe a und b des Gesetzes vom 17. Dezember 2018 (BGBl. I S. 2549) geändert worden sind, verordnet das Bundesministerium für Wirtschaft und Energie:</w:t>
      </w:r>
    </w:p>
    <w:p>
      <w:r>
        <w:rPr>
          <w:color w:val="555555"/>
          <w:sz w:val="17"/>
        </w:rPr>
        <w:t xml:space="preserve">Zitiervorschlag: Eingangsformel KapResV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https://recht.nulegal.eu/gesetze/KapResV/eingangsformel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