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KapResV — Teilnahmevoraussetzungen</w:t>
      </w:r>
    </w:p>
    <w:p>
      <w:r>
        <w:rPr>
          <w:color w:val="555555"/>
          <w:sz w:val="18"/>
        </w:rPr>
        <w:t xml:space="preserve">Kapazitätsreserveverordnung</w:t>
      </w:r>
    </w:p>
    <w:p>
      <w:r>
        <w:rPr>
          <w:color w:val="555555"/>
          <w:sz w:val="18"/>
        </w:rPr>
        <w:t xml:space="preserve">Stand: 24.12.2025 (konsolidierte Textfassung, kein amtliches Inkrafttretensdatum)</w:t>
      </w:r>
    </w:p>
    <w:p>
      <w:r>
        <w:t xml:space="preserve">(1) Jede Anlage muss für die Teilnahme am Beschaffungsverfahren, vorbehaltlich einer Präzisierung oder Änderung nach Absatz 4, insbesondere folgende Anforderungen erfüllen:</w:t>
      </w:r>
    </w:p>
    <w:p>
      <w:pPr>
        <w:ind w:left="420"/>
      </w:pPr>
      <w:r>
        <w:t xml:space="preserve">1. Anschluss an ein Elektrizitätsversorgungsnetz im Bundesgebiet oder im Gebiet des Großherzogtums Luxemburg, das im Normalschaltzustand über nicht mehr als zwei Umspannungen unmittelbar mit der Höchstspannungsebene eines deutschen oder luxemburgischen Übertragungsnetzbetreibers verbunden ist,</w:t>
      </w:r>
    </w:p>
    <w:p>
      <w:pPr>
        <w:ind w:left="420"/>
      </w:pPr>
      <w:r>
        <w:t xml:space="preserve">2. Anfahrzeit von maximal 12 Stunden; wobei Erzeugungsanlagen und Speicher die Anfahrzeit aus dem kalten Zustand erreichen müssen,</w:t>
      </w:r>
    </w:p>
    <w:p>
      <w:pPr>
        <w:ind w:left="420"/>
      </w:pPr>
      <w:r>
        <w:t xml:space="preserve">3. Anpassung der Wirkleistungseinspeisung oder des Wirkleistungsbezugs ab dem Zeitpunkt des Abrufs um mindestens je 30 Prozent der Reserveleistung innerhalb von 15 Minuten; wobei die Anpassung bei Erzeugungsanlagen und Speichern aus dem Betrieb in Mindestteillast erfolgt,</w:t>
      </w:r>
    </w:p>
    <w:p>
      <w:pPr>
        <w:ind w:left="420"/>
      </w:pPr>
      <w:r>
        <w:t xml:space="preserve">4. bei regelbaren Lasten eine konstante und vorbehaltlich der Regelung in § 27 eine unterbrechungsfreie Leistungsaufnahme mindestens in Höhe der Reserveleistung einschließlich der Fähigkeit, diese Leistungsaufnahme anhand von Leistungsnachweisen mit mindestens minutengenauer Auflösung nachzuweisen,</w:t>
      </w:r>
    </w:p>
    <w:p>
      <w:pPr>
        <w:ind w:left="420"/>
      </w:pPr>
      <w:r>
        <w:t xml:space="preserve">5. bei Erzeugungsanlagen und Speichern eine Mindestteillast von maximal 50 Prozent der Reserveleistung nach § 14 Absatz 4 Nummer 1, sowie</w:t>
      </w:r>
    </w:p>
    <w:p>
      <w:pPr>
        <w:ind w:left="420"/>
      </w:pPr>
      <w:r>
        <w:t xml:space="preserve">6. eine Höchsterbringungsdauer von mindestens 60 Minuten.</w:t>
      </w:r>
    </w:p>
    <w:p>
      <w:r>
        <w:t xml:space="preserve">Die Übertragungsnetzbetreiber dürfen in Abstimmung mit der Bundesnetzagentur die Anforderungen nach Satz 1 konkretisieren.</w:t>
      </w:r>
    </w:p>
    <w:p>
      <w:r>
        <w:t xml:space="preserve">(2) Die Übertragungsnetzbetreiber müssen in Abstimmung mit der Bundesnetzagentur zusätzliche Anforderungen gemeinsam und einheitlich festlegen:</w:t>
      </w:r>
    </w:p>
    <w:p>
      <w:pPr>
        <w:ind w:left="420"/>
      </w:pPr>
      <w:r>
        <w:t xml:space="preserve">1. für regelbare Lasten Anforderungen an die Lastcharakteristik einschließlich der Anforderungen an die konstante und unterbrechungsfreie Leistungsabnahme sowie der Anforderungen an die Erbringung von Leistungsnachweisen,</w:t>
      </w:r>
    </w:p>
    <w:p>
      <w:pPr>
        <w:ind w:left="420"/>
      </w:pPr>
      <w:r>
        <w:t xml:space="preserve">2. für regelbare Lasten Anforderungen an die verbindliche Meldung des für den Folgetag insgesamt geplanten Verbrauchs der Anlage; wobei die Meldung vor Handelsschluss des vortägigen Börsenhandels erfolgen muss,</w:t>
      </w:r>
    </w:p>
    <w:p>
      <w:pPr>
        <w:ind w:left="420"/>
      </w:pPr>
      <w:r>
        <w:t xml:space="preserve">3. informationstechnische und organisatorische Anforderungen, die sich an den Anforderungen für die Erbringung von Minutenreserveleistung nach § 3 Nummer 76 des Energiewirtschaftsgesetzes orientieren,</w:t>
      </w:r>
    </w:p>
    <w:p>
      <w:pPr>
        <w:ind w:left="420"/>
      </w:pPr>
      <w:r>
        <w:t xml:space="preserve">4. zur erforderlichen Fahrplangenauigkeit für die Aktivierung nach § 25, den Abruf nach § 26, den Funktionstest nach § 28, den Probeabruf nach § 29 sowie Nachbesserungen nach § 30 und</w:t>
      </w:r>
    </w:p>
    <w:p>
      <w:pPr>
        <w:ind w:left="420"/>
      </w:pPr>
      <w:r>
        <w:t xml:space="preserve">5. Anforderungen an die Fernsteuerbarkeit der Anlage.</w:t>
      </w:r>
    </w:p>
    <w:p>
      <w:r>
        <w:t xml:space="preserve">(3) Die Teilnahme am Beschaffungsverfahren ist für regelbare Lasten auf solche Anlagen beschränkt, die in den der Bekanntmachung nach § 11 vorausgehenden 36 Monaten keine Vergütung für ihre Flexibilität erhalten haben. Die Vergütung im Sinne von Satz 1 gilt als erhalten, wenn die regelbare Last im Rahmen der Teilnahme an den Märkten für Regelenergie einen Zuschlag erhalten hat. Die Sätze 1 und 2 sind unabhängig davon anzuwenden, ob die regelbare Last die Vergütung individuell oder als Teil eines Konsortiums erhalten hat.</w:t>
      </w:r>
    </w:p>
    <w:p>
      <w:r>
        <w:t xml:space="preserve">(4) Die Teilnahmevoraussetzungen nach den Absätzen 1 und 2 sind vorbehaltlich einer Präzisierung oder Änderung durch Festlegung der Bundesnetzagentur nach § 42 anzuwenden, sofern eine solche Präzisierung oder Änderung nach den Erfahrungen oder Erwartungen in Bezug auf das Beschaffungsverfahren oder den Betrieb ausnahmsweise erforderlich erscheint.</w:t>
      </w:r>
    </w:p>
    <w:p>
      <w:r>
        <w:rPr>
          <w:color w:val="555555"/>
          <w:sz w:val="17"/>
        </w:rPr>
        <w:t xml:space="preserve">Zitiervorschlag: § 9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