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KapResV — Verhältnis zur Regelenergie und zur Netzreserve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Die Übertragungsnetzbetreiber dürfen die vorgehaltene Reserveleistung der Kapazitätsreserve nicht anrechnen bei der Bestimmung des Umfangs der zu beschaffenden Primärregelleistung, Sekundärregelleistung und Minutenreserveleistung.</w:t>
      </w:r>
    </w:p>
    <w:p>
      <w:r>
        <w:t xml:space="preserve">(2) Soweit Kapazitätsreserveanlagen auch die Funktion der Netzreserve erfüllen können, berücksichtigen die Übertragungsnetzbetreiber sie beim Umfang der nach den §§ 3 und 4 der Netzreserveverordnung zu beschaffenden Netzreserve entsprechend.</w:t>
      </w:r>
    </w:p>
    <w:p>
      <w:r>
        <w:rPr>
          <w:color w:val="555555"/>
          <w:sz w:val="17"/>
        </w:rPr>
        <w:t xml:space="preserve">Zitiervorschlag: § 5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