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KapResV — Festlegungen</w:t>
      </w:r>
    </w:p>
    <w:p>
      <w:r>
        <w:rPr>
          <w:color w:val="555555"/>
          <w:sz w:val="18"/>
        </w:rPr>
        <w:t xml:space="preserve">Kapazitätsreserveverordnung</w:t>
      </w:r>
    </w:p>
    <w:p>
      <w:r>
        <w:rPr>
          <w:color w:val="555555"/>
          <w:sz w:val="18"/>
        </w:rPr>
        <w:t xml:space="preserve">Stand: 24.10.2020 (konsolidierte Textfassung, kein amtliches Inkrafttretensdatum)</w:t>
      </w:r>
    </w:p>
    <w:p>
      <w:r>
        <w:t xml:space="preserve">Die Bundesnetzagentur kann durch Festlegung nach § 29 Absatz 1 des Energiewirtschaftsgesetzes Entscheidungen treffen</w:t>
      </w:r>
    </w:p>
    <w:p>
      <w:pPr>
        <w:ind w:left="420"/>
      </w:pPr>
      <w:r>
        <w:t xml:space="preserve">1. zur Änderung der Größe der Kapazitätsreserve nach § 13e Absatz 5 Satz 3 des Energiewirtschaftsgesetzes,</w:t>
      </w:r>
    </w:p>
    <w:p>
      <w:pPr>
        <w:ind w:left="420"/>
      </w:pPr>
      <w:r>
        <w:t xml:space="preserve">2. zur Durchführung des Beschaffungsverfahrens sowie zum Zeitpunkt, Zeitraum und Häufigkeit der Beschaffung nach § 8 und zur Präzisierung oder ausnahmsweise Änderung der Teilnahmevoraussetzungen nach § 9,</w:t>
      </w:r>
    </w:p>
    <w:p>
      <w:pPr>
        <w:ind w:left="420"/>
      </w:pPr>
      <w:r>
        <w:t xml:space="preserve">3. zur Konkretisierung von Art, Form und Inhalt der Gebote nach § 14 sowie zum Verfahren des Ausschlusses von Geboten und Bietern nach § 17,</w:t>
      </w:r>
    </w:p>
    <w:p>
      <w:pPr>
        <w:ind w:left="420"/>
      </w:pPr>
      <w:r>
        <w:t xml:space="preserve">4. zum Zuschlagsverfahren nach § 18,</w:t>
      </w:r>
    </w:p>
    <w:p>
      <w:pPr>
        <w:ind w:left="420"/>
      </w:pPr>
      <w:r>
        <w:t xml:space="preserve">5. zur Information der Marktteilnehmer nach § 24 Absatz 3,</w:t>
      </w:r>
    </w:p>
    <w:p>
      <w:pPr>
        <w:ind w:left="420"/>
      </w:pPr>
      <w:r>
        <w:t xml:space="preserve">6. zu Kriterien für die Auswahl der Anlagen nach § 25 Absatz 3,</w:t>
      </w:r>
    </w:p>
    <w:p>
      <w:pPr>
        <w:ind w:left="420"/>
      </w:pPr>
      <w:r>
        <w:t xml:space="preserve">7. zu Art und Weise der Überprüfung der Verfügbarkeit der Kapazitätsreserveanlagen nach den §§ 28 und 29 und</w:t>
      </w:r>
    </w:p>
    <w:p>
      <w:pPr>
        <w:ind w:left="420"/>
      </w:pPr>
      <w:r>
        <w:t xml:space="preserve">8. zur Durchführung der Abrechnung nach den §§ 31 und 33, insbesondere zur Konkretisierung der Kostenbestandteile und zum Nachweis entstandener Kosten.</w:t>
      </w:r>
    </w:p>
    <w:p>
      <w:r>
        <w:rPr>
          <w:color w:val="555555"/>
          <w:sz w:val="17"/>
        </w:rPr>
        <w:t xml:space="preserve">Zitiervorschlag: § 42 KapResV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https://recht.nulegal.eu/gesetze/KapResV/42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