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KapResV — Durchsetzung von Vertragsstrafen</w:t>
      </w:r>
    </w:p>
    <w:p>
      <w:r>
        <w:rPr>
          <w:color w:val="555555"/>
          <w:sz w:val="18"/>
        </w:rPr>
        <w:t xml:space="preserve">Kapazitätsreserveverordnung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Betreiber einer Kapazitätsreserveanlage muss die nach den §§ 34 und 36 fälligen Geldbeträge an den Anschluss-Übertragungsnetzbetreiber zahlen. Der jeweilige Anschluss-Übertragungsnetzbetreiber muss die Zahlung fälliger Vertragsstrafen durchsetzen.</w:t>
      </w:r>
    </w:p>
    <w:p>
      <w:r>
        <w:t xml:space="preserve">(2) Wenn der Betreiber die Forderung nicht bis zum Ablauf des zweiten Kalendermonats erfüllt hat, der auf das Datum der Geltendmachung des Anspruchs auf Vertragsstrafe durch den Anschluss-Übertragungsnetzbetreiber folgt, darf sich der Anschluss-Übertragungsnetzbetreiber aus den Sicherheiten befriedigen.</w:t>
      </w:r>
    </w:p>
    <w:p>
      <w:r>
        <w:t xml:space="preserve">(3) Hat sich der Anschluss-Übertragungsnetzbetreiber aus den Sicherheiten befriedigt, darf er die Vergütung nach § 19 Absatz 1 und 2 so lange zurückbehalten, bis der Betreiber der Kapazitätsreserveanlage erneut Sicherheit dergestalt geleistet hat, dass sie in Art, Form und Umfang der ursprünglich geleisteten Sicherheit entspricht.</w:t>
      </w:r>
    </w:p>
    <w:p>
      <w:r>
        <w:t xml:space="preserve">(4) Der Anschluss-Übertragungsnetzbetreiber ist berechtigt, vom Betreiber der Kapazitätsreserveanlage Unterlagen und Nachweise über die Einhaltung der Teilnahmevoraussetzungen nach § 9 sowie im Falle regelbarer Lasten über die Einhaltung des § 3 Absatz 3 zu verlangen.</w:t>
      </w:r>
    </w:p>
    <w:p>
      <w:r>
        <w:rPr>
          <w:color w:val="555555"/>
          <w:sz w:val="17"/>
        </w:rPr>
        <w:t xml:space="preserve">Zitiervorschlag: § 39 KapResV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https://recht.nulegal.eu/gesetze/KapResV/39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