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KapResV — Veröffentlichungs- und Mitteilungspflichten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07.11.2025 (konsolidierte Textfassung, kein amtliches Inkrafttretensdatum)</w:t>
      </w:r>
    </w:p>
    <w:p>
      <w:r>
        <w:t xml:space="preserve">(1) Die Übertragungsnetzbetreiber veröffentlichen auf einer gemeinsamen Internetplattform innerhalb angemessener Frist</w:t>
      </w:r>
    </w:p>
    <w:p>
      <w:pPr>
        <w:ind w:left="420"/>
      </w:pPr>
      <w:r>
        <w:t xml:space="preserve">1. die Teilnahmevoraussetzungen und Festlegungen nach § 9 Absatz 2, einschließlich eines Hinweises auf die Anforderungen nach § 9 Absatz 1 und die Standardbedingungen nach § 37 Absatz 1 Nummer 1; wobei die Veröffentlichung spätestens einen Monat vor der jeweiligen Bekanntmachung nach § 11 erfolgen soll,</w:t>
      </w:r>
    </w:p>
    <w:p>
      <w:pPr>
        <w:ind w:left="420"/>
      </w:pPr>
      <w:r>
        <w:t xml:space="preserve">2. die Entscheidung über die Zuschläge und die Höhe des Zuschlagswerts nach § 18; wobei die Veröffentlichung spätestens einen Monat nach Zuschlagserteilung erfolgen soll und folgende Angaben erforderlich sind:</w:t>
      </w:r>
    </w:p>
    <w:p>
      <w:pPr>
        <w:ind w:left="780"/>
      </w:pPr>
      <w:r>
        <w:t xml:space="preserve">a) der Gebotstermin der Ausschreibung, für die die Zuschläge erteilt werden, und</w:t>
      </w:r>
    </w:p>
    <w:p>
      <w:pPr>
        <w:ind w:left="780"/>
      </w:pPr>
      <w:r>
        <w:t xml:space="preserve">b) die Namen der Bieter, die einen Zuschlag erhalten, einschließlich der Nummer der Anlage im Marktstammdatenregister, der Reserveleistung sowie einer eindeutigen Zuschlagsnummer.</w:t>
      </w:r>
    </w:p>
    <w:p>
      <w:r>
        <w:t xml:space="preserve">(2) Die Übertragungsnetzbetreiber teilen der Bundesnetzagentur unverzüglich wesentliche Vorgänge oder Änderungen im Zusammenhang mit der Kapazitätsreserve mit, insbesondere</w:t>
      </w:r>
    </w:p>
    <w:p>
      <w:pPr>
        <w:ind w:left="420"/>
      </w:pPr>
      <w:r>
        <w:t xml:space="preserve">1. die nach Absatz 1 zu veröffentlichenden Informationen,</w:t>
      </w:r>
    </w:p>
    <w:p>
      <w:pPr>
        <w:ind w:left="420"/>
      </w:pPr>
      <w:r>
        <w:t xml:space="preserve">2. jeden Verstoß von Betreibern von Kapazitätsreserveanlagen gegen § 3; wobei die Mitteilung die betroffene Kapazitätsreserveanlage, den Betreiber und die Norm, gegen die verstoßen wurde, enthalten muss,</w:t>
      </w:r>
    </w:p>
    <w:p>
      <w:pPr>
        <w:ind w:left="420"/>
      </w:pPr>
      <w:r>
        <w:t xml:space="preserve">3. die Vertragsbeendigungen nach § 22,</w:t>
      </w:r>
    </w:p>
    <w:p>
      <w:pPr>
        <w:ind w:left="420"/>
      </w:pPr>
      <w:r>
        <w:t xml:space="preserve">4. die Aktivierung nach § 25,</w:t>
      </w:r>
    </w:p>
    <w:p>
      <w:pPr>
        <w:ind w:left="420"/>
      </w:pPr>
      <w:r>
        <w:t xml:space="preserve">5. den Abruf nach § 26,</w:t>
      </w:r>
    </w:p>
    <w:p>
      <w:pPr>
        <w:ind w:left="420"/>
      </w:pPr>
      <w:r>
        <w:t xml:space="preserve">6. jede Nichtverfügbarkeit im Fall der §§ 25 bis 29; wobei die Mitteilung die betroffene Kapazitätsreserveanlage, den Betreiber und, sofern den Übertragungsnetzbetreibern bekannt, die Ursache der Nichtverfügbarkeit enthalten muss, und</w:t>
      </w:r>
    </w:p>
    <w:p>
      <w:pPr>
        <w:ind w:left="420"/>
      </w:pPr>
      <w:r>
        <w:t xml:space="preserve">7. die Vereinnahmung von Vertragsstrafen nach den §§ 34 und 36.</w:t>
      </w:r>
    </w:p>
    <w:p>
      <w:r>
        <w:t xml:space="preserve">(3) Die Übertragungsnetzbetreiber teilen den Bietern, deren Gebote nach § 17 vom weiteren Verfahren ausgeschlossen worden sind, und den Bietern, die keinen Zuschlag nach § 18 erhalten haben, die Gründe für den Ausschluss oder die Nichtbezuschlagung mit. Die Mitteilung nach Satz 1 hat zu erfolgen, sobald die Übertragungsnetzbetreiber die Zuschläge nach § 18 erteilt und alle bezuschlagten Bieter die Zweitsicherheit nach § 10 Absatz 2 geleistet haben.</w:t>
      </w:r>
    </w:p>
    <w:p>
      <w:r>
        <w:rPr>
          <w:color w:val="555555"/>
          <w:sz w:val="17"/>
        </w:rPr>
        <w:t xml:space="preserve">Zitiervorschlag: § 38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