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KapResV — Zahlungspflichten bei Nichtverfügbarkeit der Anlage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07.11.2025 (konsolidierte Textfassung, kein amtliches Inkrafttretensdatum)</w:t>
      </w:r>
    </w:p>
    <w:p>
      <w:r>
        <w:t xml:space="preserve">(1) Erfüllt eine Kapazitätsreserveanlage im Rahmen der Funktionstests nach § 28 die Anforderungen nach § 9 oder die im Gebot nach § 14 Absatz 4 Satz 1 Nummer 1 und 5 maßgeblichen Werte bis zum Beginn des Erbringungszeitraums nicht, muss der Betreiber eine Vertragsstrafe in Höhe von 20 Prozent der für den gesamten Erbringungszeitraum vereinbarten Vergütung nach § 19 Absatz 1 Satz 1 an den Anschluss-Übertragungsnetzbetreiber leisten. Satz 1 ist entsprechend anzuwenden, wenn bis zum Beginn des Erbringungszeitraums kein Funktionstest durchgeführt wurde; es sei denn der Anschluss-Übertragungsnetzbetreiber hat die Nichtdurchführung zu vertreten.</w:t>
      </w:r>
    </w:p>
    <w:p>
      <w:r>
        <w:t xml:space="preserve">(2) Die Vertragsstrafe ist lediglich anteilig zu leisten, wenn die Kapazitätsreserveanlage innerhalb von sechs Monaten nach Beginn des Erbringungszeitraums im Rahmen eines Funktionstests nach § 28 die Anforderungen nach § 9 und die im Gebot nach § 14 Absatz 4 Satz 1 Nummer 1 und 5 maßgeblichen Werte erfüllt. Die Vertragsstrafe beträgt im Falle des Satzes 1 für den ersten angefangenen Monat ein Sechstel und für jeden weiteren angefangenen Monat ein Zwölftel des nach Absatz 1 vorgesehenen Gesamtbetrages.</w:t>
      </w:r>
    </w:p>
    <w:p>
      <w:r>
        <w:t xml:space="preserve">(3) In den Fällen der Absätze 1 und 2 erhält der Betreiber bis zum erfolgreichen Funktionstest keine Vergütung und der Vergütungsanspruch für diesen Zeitraum entfällt.</w:t>
      </w:r>
    </w:p>
    <w:p>
      <w:r>
        <w:t xml:space="preserve">(4) Erbringt die Kapazitätsreserveanlage im Fall der Aktivierung nach § 25, des Abrufs nach § 26 oder der Probeabrufe nach § 29 Absatz 1 die vertraglich vereinbarte Leistung nicht, nicht rechtzeitig oder nicht vollständig, muss der Betreiber für jeden Einzelfall eine Vertragsstrafe in Höhe von 15 Prozent der ihm für ein Vertragsjahr nach § 19 Absatz 1 Satz 1 zustehenden Vergütung an den Anschluss-Übertragungsnetzbetreiber zahlen. Bis zur Nachbesserung nach § 30 erhält der Betreiber keine Vergütung und der Vergütungsanspruch für diesen Zeitraum entfällt.</w:t>
      </w:r>
    </w:p>
    <w:p>
      <w:r>
        <w:t xml:space="preserve">(5) Erfüllt eine Kapazitätsreserveanlage im Rahmen einer Aktivierung nach § 25, eines Abrufs nach § 26, eines Funktionstests nach § 28 oder eines Probeabrufs nach § 29 die Anforderungen nach § 9 nur mit einer Teilmenge der Reserveleistung, sind die Absätze 1 bis 4 nur für die Teilmenge der Reserveleistung anzuwenden, die die Anforderungen nach § 9 nicht erfüllt hat.</w:t>
      </w:r>
    </w:p>
    <w:p>
      <w:r>
        <w:t xml:space="preserve">(6) Die Absätze 4 und 5 sind für Verstöße gegen § 27 Absatz 1 entsprechend anzuwenden.</w:t>
      </w:r>
    </w:p>
    <w:p>
      <w:r>
        <w:t xml:space="preserve">(7) Erfolgt die Nachbesserung nach § 30 so rechtzeitig, dass die vollständige Reserveleistung zum Zeitpunkt des Leistungsbilanzdefizits zur Verfügung steht, muss der Betreiber keine Vertragsstrafe zahlen und der Vergütungsanspruch bleibt bestehen. Im Falle von Probeabrufen nach § 29 muss die vollständige Reserveleistung innerhalb von 12 Stunden ab der erstmaligen Anforderung durch den Übertragungsnetzbetreiber zur Verfügung stehen.</w:t>
      </w:r>
    </w:p>
    <w:p>
      <w:r>
        <w:t xml:space="preserve">(8) Hat ein Betreiber einer Kapazitätsreserveanlage Absprachen nach § 17 Absatz 4 Satz 1 Nummer 3 getroffen, muss er eine Vertragsstrafe in Höhe von 20 Prozent der für den gesamten Erbringungszeitraum vereinbarten Vergütung an den Anschluss-Übertragungsnetzbetreiber leisten. Daneben sind die allgemeinen Vorschriften des deutschen und europäischen Kartellrechts anzuwenden. Die Übertragungsnetzbetreiber sind verpflichtet, sofern sie von einer wettbewerbsbehindernden Absprache im Sinne von Absatz 1 oder sonstigem kartellrechtwidrigem Verhalten Kenntnis erlangen, unverzüglich die zuständige Kartellbehörde zu unterrichten.</w:t>
      </w:r>
    </w:p>
    <w:p>
      <w:r>
        <w:t xml:space="preserve">(9) Die Vertragsstrafen nach den Absätzen 4 und 5 sind pro Vertragsjahr der Höhe nach auf die dem Betreiber für ein Vertragsjahr nach § 19 Absatz 1 Satz 1 grundsätzlich zustehende Vergütung begrenzt.</w:t>
      </w:r>
    </w:p>
    <w:p>
      <w:r>
        <w:rPr>
          <w:color w:val="555555"/>
          <w:sz w:val="17"/>
        </w:rPr>
        <w:t xml:space="preserve">Zitiervorschlag: § 34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