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KapResV — Abrechnung zwischen Übertragungsnetzbetreiber und Betreiber der Kapazitätsreserveanlage</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Die Vergütung nach § 19 Absatz 1 Satz 1 muss der jeweilige Anschluss-Übertragungsnetzbetreiber monatlich jeweils zum zehnten Werktag anteilig für den vorangegangenen Monat an den Betreiber der Kapazitätsreserveanlage zahlen. Sonnabend, Sonntag und bundesweit einheitliche gesetzliche Feiertage sind keine Werktage im Sinne von Satz 1.</w:t>
      </w:r>
    </w:p>
    <w:p>
      <w:r>
        <w:t xml:space="preserve">(2) Kosten, die nach § 19 Absatz 4 gesondert zu erstatten sind, erstattet der jeweilige Anschluss-Übertragungsnetzbetreiber dem Betreiber der Kapazitätsreserveanlage, sobald und soweit dieser sie dargelegt und nachgewiesen hat.</w:t>
      </w:r>
    </w:p>
    <w:p>
      <w:r>
        <w:rPr>
          <w:color w:val="555555"/>
          <w:sz w:val="17"/>
        </w:rPr>
        <w:t xml:space="preserve">Zitiervorschlag: § 31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