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KapResV — Aktivierung</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Um sicherzustellen, dass die Anlagen zum notwendigen Zeitpunkt die vollständige Reserveleistung einspeisen können, müssen die Übertragungsnetzbetreiber die Kapazitätsreserveanlagen aktivieren, wenn:</w:t>
      </w:r>
    </w:p>
    <w:p>
      <w:pPr>
        <w:ind w:left="420"/>
      </w:pPr>
      <w:r>
        <w:t xml:space="preserve">1. bei der letzten Auktion des vortägigen Handels an der Strombörse die Markträumung ausbleibt,</w:t>
      </w:r>
    </w:p>
    <w:p>
      <w:pPr>
        <w:ind w:left="420"/>
      </w:pPr>
      <w:r>
        <w:t xml:space="preserve">2. an der Strombörse bei der jeweiligen europäischen Intraday-Auktion die Markträumung um 15 Uhr oder 22 Uhr jeweils für den Folgetag oder um 10 Uhr für den Zeitraum von 12 Uhr bis 24 Uhr des gleichen Tages ausbleibt, oder</w:t>
      </w:r>
    </w:p>
    <w:p>
      <w:pPr>
        <w:ind w:left="420"/>
      </w:pPr>
      <w:r>
        <w:t xml:space="preserve">3. im untertägigen, kontinuierlichen Handel an der Strombörse für eine Fahrplanviertelstunde offene Kaufgebote in Höhe des technischen Preislimits eingestellt sind, die nicht innerhalb einer Stunde vollständig erfüllt werden.</w:t>
      </w:r>
    </w:p>
    <w:p>
      <w:r>
        <w:t xml:space="preserve">Bei der Aktivierung haben die Übertragungsnetzbetreiber jeweils die Anfahrtszeit zu berücksichtigen. Strombörse im Sinne von Satz 1 ist die Strombörse, die im ersten Quartal des vorangegangenen Kalenderjahres das höchste Handelsvolumen für Stundenkontrakte für die Preiszone Deutschland am Spotmarkt aufgewiesen hat. Die Übertragungsnetzbetreiber veröffentlichen die Strombörse im Sinne von Satz 1 auf der gemeinsamen Internetplattform.</w:t>
      </w:r>
    </w:p>
    <w:p>
      <w:r>
        <w:t xml:space="preserve">(2) Die Übertragungsnetzbetreiber müssen im Regelfall alle Kapazitätsreserveanlagen aktivieren. Sie sind befugt, nur einen Teil der Anlagen zu aktivieren, wenn dies nach ihren Prognosen ausreicht, um eine Gefährdung oder Störung der Sicherheit oder Zuverlässigkeit des Elektrizitätsversorgungssystems zu vermeiden oder zu beseitigen. Sie müssen diese Anlagen anhand technischer Eignung und ökonomischer Kriterien auswählen.</w:t>
      </w:r>
    </w:p>
    <w:p>
      <w:r>
        <w:t xml:space="preserve">(3) Um die infolge der Aktivierung der Kapazitätsreserveanlagen eingespeisten Strommengen auszugleichen, sind die Übertragungsnetzbetreiber berechtigt und verpflichtet, von den Betreibern der in den Strommärkten aktiven Anlagen zu verlangen, dass diese in vergleichbarem Umfang die Wirkleistungseinspeisung ihrer Anlagen anpassen. Die Übertragungsnetzbetreiber müssen diese Anlagen anhand ihrer technischen Eignung und anhand ökonomischer Kriterien auswählen. § 13a Absatz 1 Satz 1 des Energiewirtschaftsgesetzes ist entsprechend anzuwenden. Die Sätze 1 bis 3 sind für die Strommengen nach § 3 Absatz 1 Satz 2 und den §§ 28 bis 30 entsprechend anzuwenden.</w:t>
      </w:r>
    </w:p>
    <w:p>
      <w:r>
        <w:t xml:space="preserve">(4) Maßnahmen, die nach § 13 Absatz 2 des Energiewirtschaftsgesetzes erforderlich sind, bleiben von Absatz 1 unberührt.</w:t>
      </w:r>
    </w:p>
    <w:p>
      <w:r>
        <w:rPr>
          <w:color w:val="555555"/>
          <w:sz w:val="17"/>
        </w:rPr>
        <w:t xml:space="preserve">Zitiervorschlag: § 25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