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KapResV — Grundsätze</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Die Übertragungsnetzbetreiber dürfen die Kapazitätsreserve ausschließlich als Systemdienstleistung einsetzen. Die Verbote nach § 3 Absatz 2 Satz 1 und 2 sind entsprechend anzuwenden.</w:t>
      </w:r>
    </w:p>
    <w:p>
      <w:r>
        <w:t xml:space="preserve">(2) Die Übertragungsnetzbetreiber müssen die Kapazitätsreserve auf Grundlage der ihnen zur Verfügung stehenden Prognosen unter Berücksichtigung der technischen Randbedingungen einsetzen. Der Einsatz erfolgt nachrangig zu anderen geeigneten Maßnahmen nach § 13 Absatz 1 Nummer 1 und 2 des Energiewirtschaftsgesetzes, soweit diese zur Gewährleistung der Sicherheit und Zuverlässigkeit des Elektrizitätsversorgungssystems ausreichend sind.</w:t>
      </w:r>
    </w:p>
    <w:p>
      <w:r>
        <w:t xml:space="preserve">(3) Die Übertragungsnetzbetreiber informieren die Marktteilnehmer und die Betreiber derjenigen Netze, in die die Kapazitätsreserveanlagen eingebunden sind, unverzüglich und auf geeignete Art und Weise über die Aktivierung und den Abruf der Kapazitätsreserve. Die Information soll insbesondere den Zeitpunkt, die Zeitdauer und den Umfang der Aktivierung und des Abrufs enthalten. Die Übertragungsnetzbetreiber informieren die Betreiber derjenigen Netze, in die die Kapazitätsreserveanlagen eingebunden sind, zudem vor der Durchführung über Funktionstests und Probeabrufe.</w:t>
      </w:r>
    </w:p>
    <w:p>
      <w:r>
        <w:t xml:space="preserve">(4) Kapazitätsreserveanlagen, die sich an für den Einsatz als Netzreserve geeigneten Standorten befinden, müssen auf Anforderung der Übertragungsnetzbetreiber auch nach § 7 der Netzreserveverordnung einspeisen.</w:t>
      </w:r>
    </w:p>
    <w:p>
      <w:r>
        <w:t xml:space="preserve">(5) Der Betreiber der Kapazitätsreserveanlage muss die Anlage in einem separaten Bilanzkreis führen, in dem ausschließlich diese Kapazitätsreserveanlage geführt wird. Die beim Einsatz der Kapazitätsreserveanlagen erzeugten oder durch Lastverzicht zur Verfügung stehenden Strommengen sind ausschließlich in dem jeweiligen Bilanzkreis nach Satz 1 zu führen. Dies ist auch maßgebend für die Strommengen aus</w:t>
      </w:r>
    </w:p>
    <w:p>
      <w:pPr>
        <w:ind w:left="420"/>
      </w:pPr>
      <w:r>
        <w:t xml:space="preserve">1. Anfahrvorgängen nach § 3 Absatz 1 Satz 2,</w:t>
      </w:r>
    </w:p>
    <w:p>
      <w:pPr>
        <w:ind w:left="420"/>
      </w:pPr>
      <w:r>
        <w:t xml:space="preserve">2. Funktionstests nach § 28,</w:t>
      </w:r>
    </w:p>
    <w:p>
      <w:pPr>
        <w:ind w:left="420"/>
      </w:pPr>
      <w:r>
        <w:t xml:space="preserve">3. Probeabrufen und Testfahrten nach § 29 oder</w:t>
      </w:r>
    </w:p>
    <w:p>
      <w:pPr>
        <w:ind w:left="420"/>
      </w:pPr>
      <w:r>
        <w:t xml:space="preserve">4. Nachbesserungen nach § 30.</w:t>
      </w:r>
    </w:p>
    <w:p>
      <w:r>
        <w:rPr>
          <w:color w:val="555555"/>
          <w:sz w:val="17"/>
        </w:rPr>
        <w:t xml:space="preserve">Zitiervorschlag: § 24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