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KapResV — Kündigung des Vertrages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 § 18 Absatz 2 geschlossene Vertrag kann ausschließlich bei Vorliegen eines Grundes nach Absatz 2 oder bei Vorliegen der Voraussetzungen nach § 314 des Bürgerlichen Gesetzbuchs gekündigt werden.</w:t>
      </w:r>
    </w:p>
    <w:p>
      <w:r>
        <w:t xml:space="preserve">(2) Der Anschluss-Übertragungsnetzbetreiber kann insbesondere den Vertrag kündigen, wenn</w:t>
      </w:r>
    </w:p>
    <w:p>
      <w:pPr>
        <w:ind w:left="420"/>
      </w:pPr>
      <w:r>
        <w:t xml:space="preserve">1. die Anlage den Funktionstest nicht innerhalb des Zeitraums nach § 28 Absatz 3 Satz 4 besteht,</w:t>
      </w:r>
    </w:p>
    <w:p>
      <w:pPr>
        <w:ind w:left="420"/>
      </w:pPr>
      <w:r>
        <w:t xml:space="preserve">2. die Nachbesserung nach § 30 nicht oder nicht innerhalb der nach § 30 Absatz 3 Satz 1 vorgesehenen Frist erfolgt,</w:t>
      </w:r>
    </w:p>
    <w:p>
      <w:pPr>
        <w:ind w:left="420"/>
      </w:pPr>
      <w:r>
        <w:t xml:space="preserve">3. die Kapazitätsreserveanlage vor oder während des Erbringungszeitraums die Eignung zur Vorhaltung der Reserveleistung dauerhaft verliert oder</w:t>
      </w:r>
    </w:p>
    <w:p>
      <w:pPr>
        <w:ind w:left="420"/>
      </w:pPr>
      <w:r>
        <w:t xml:space="preserve">4. die Voraussetzungen für einen Rücktritt nach § 323 des Bürgerlichen Gesetzbuchs vorliegen.</w:t>
      </w:r>
    </w:p>
    <w:p>
      <w:r>
        <w:rPr>
          <w:color w:val="555555"/>
          <w:sz w:val="17"/>
        </w:rPr>
        <w:t xml:space="preserve">Zitiervorschlag: § 22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