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KapResV — Vergütung</w:t>
      </w:r>
    </w:p>
    <w:p>
      <w:r>
        <w:rPr>
          <w:color w:val="555555"/>
          <w:sz w:val="18"/>
        </w:rPr>
        <w:t xml:space="preserve">Kapazitätsreserveverordnung</w:t>
      </w:r>
    </w:p>
    <w:p>
      <w:r>
        <w:rPr>
          <w:color w:val="555555"/>
          <w:sz w:val="18"/>
        </w:rPr>
        <w:t xml:space="preserve">Stand: 07.11.2025 (konsolidierte Textfassung, kein amtliches Inkrafttretensdatum)</w:t>
      </w:r>
    </w:p>
    <w:p>
      <w:r>
        <w:t xml:space="preserve">(1) Die Betreiber der Kapazitätsreserveanlagen erhalten im Erbringungszeitraum eine jährliche Vergütung in Höhe des Produkts aus Zuschlagswert und Gebotsmenge. Zusätzlich erhalten sie im Erbringungszeitraum die nach Absatz 4 zu erstattenden Kosten.</w:t>
      </w:r>
    </w:p>
    <w:p>
      <w:r>
        <w:t xml:space="preserve">(2) Der Zuschlagswert für alle Kapazitätsreserveanlagen entspricht</w:t>
      </w:r>
    </w:p>
    <w:p>
      <w:pPr>
        <w:ind w:left="420"/>
      </w:pPr>
      <w:r>
        <w:t xml:space="preserve">1. bei einem Zuschlag nach § 18 Absatz 3 dem Gebotswert desjenigen Gebots, das den höchsten Gebotswert aufweist und</w:t>
      </w:r>
    </w:p>
    <w:p>
      <w:pPr>
        <w:ind w:left="420"/>
      </w:pPr>
      <w:r>
        <w:t xml:space="preserve">2. bei einem Zuschlag nach § 18 Absatz 4 bis 6 dem Gebotswert desjenigen Gebots, mit dessen Bezuschlagung die Zuschlagsgrenze erreicht oder überschritten wird.</w:t>
      </w:r>
    </w:p>
    <w:p>
      <w:r>
        <w:t xml:space="preserve">(3) Die jährliche Vergütung umfasst</w:t>
      </w:r>
    </w:p>
    <w:p>
      <w:pPr>
        <w:ind w:left="420"/>
      </w:pPr>
      <w:r>
        <w:t xml:space="preserve">1. bis zu 16 Einsätze in der Kapazitätsreserve pro Vertragsjahr mit einer jeweiligen Dauer des Abrufs bis zu der nach § 14 Absatz 4 Satz 1 Nummer 5 berücksichtigungsfähigen Höchsterbringungsdauer,</w:t>
      </w:r>
    </w:p>
    <w:p>
      <w:pPr>
        <w:ind w:left="420"/>
      </w:pPr>
      <w:r>
        <w:t xml:space="preserve">2. den oder die Funktionstests nach § 28,</w:t>
      </w:r>
    </w:p>
    <w:p>
      <w:pPr>
        <w:ind w:left="420"/>
      </w:pPr>
      <w:r>
        <w:t xml:space="preserve">3. den oder die Probeabrufe nach § 29 und</w:t>
      </w:r>
    </w:p>
    <w:p>
      <w:pPr>
        <w:ind w:left="420"/>
      </w:pPr>
      <w:r>
        <w:t xml:space="preserve">4. erforderliche Nachbesserungen nach § 30.</w:t>
      </w:r>
    </w:p>
    <w:p>
      <w:r>
        <w:t xml:space="preserve">(4) Gegen Nachweis gesondert zu erstatten sind</w:t>
      </w:r>
    </w:p>
    <w:p>
      <w:pPr>
        <w:ind w:left="420"/>
      </w:pPr>
      <w:r>
        <w:t xml:space="preserve">1. zusätzlich anfallende Kosten für die Erfüllung besonderer technischer Anforderungen aus der Netzreserve, für Einsätze in der Netzreserve sowie für Einsätze in der Kapazitätsreserve, die über die nach Absatz 3 Nummer 1 abgegoltene Anzahl von Einsätzen hinausgehen,</w:t>
      </w:r>
    </w:p>
    <w:p>
      <w:pPr>
        <w:ind w:left="420"/>
      </w:pPr>
      <w:r>
        <w:t xml:space="preserve">2. Kosten, die dafür entstehen, dass auf Anforderung der Übertragungsnetzbetreiber die Schwarzstartfähigkeit einer Anlage hergestellt oder aufrechterhalten wird,</w:t>
      </w:r>
    </w:p>
    <w:p>
      <w:pPr>
        <w:ind w:left="420"/>
      </w:pPr>
      <w:r>
        <w:t xml:space="preserve">3. Kosten, die dafür entstehen, dass auf Anforderung der Übertragungsnetzbetreiber die Fähigkeit zur Blindleistungseinspeisung ohne Wirkleistungseinspeisung hergestellt oder aufrechterhalten wird, und</w:t>
      </w:r>
    </w:p>
    <w:p>
      <w:pPr>
        <w:ind w:left="420"/>
      </w:pPr>
      <w:r>
        <w:t xml:space="preserve">4. Kosten für die Ausgleichsenergie, die während Einspeisungen oder Reduktionen des Wirkleistungsbezugs auf Anforderung der Übertragungsnetzbetreiber im Rahmen der Bewirtschaftung des Bilanzkreises nach § 24 Absatz 5 Satz 1 entstehen, soweit sie nicht ausdrücklich vom Anlagenbetreiber zu tragen sind; Erlöse aus dieser Bewirtschaftung sind von den Kosten abzuziehen und im Falle von Überschüssen an die Übertragungsnetzbetreiber zu erstatten.</w:t>
      </w:r>
    </w:p>
    <w:p>
      <w:r>
        <w:t xml:space="preserve">(5) Gesondert erstattungsfähig nach Absatz 4 Nummer 1 sind insbesondere Kosten für die für Anpassungen der Einspeisung von Wirkleistung oder Blindleistung oder für die Reduktion des Wirkleistungsbezugs benötigten Brennstoffe, Emissionszertifikate und sonstigen Roh-, Hilfs- und Betriebsstoffe, start- oder betriebsstundenabhängige Instandhaltungskosten sowie im Falle regelbarer Lasten Opportunitätskosten. Diese Kosten werden erstattet, wenn und soweit sie aufgrund einer Anforderung der Übertragungsnetzbetreibers entstanden sind. § 21 Absatz 2 Satz 2 des Energiewirtschaftsgesetzes ist entsprechend anzuwenden.</w:t>
      </w:r>
    </w:p>
    <w:p>
      <w:r>
        <w:t xml:space="preserve">(6) Für die Abgrenzung der start- oder betriebsstundenabhängigen Instandhaltungskosten nach Absatz 4 Nummer 1 gegenüber den Kosten nach Absatz 3 können die Übertragungsnetzbetreiber eine Schlüsselung vorsehen. Als Schlüssel können die Anzahl der Starts und Betriebsstunden der Anlage für die jeweilige Art des Einsatzes im Verhältnis zur Gesamtanzahl der Starts und Betriebsstunden pro Vertragsjahr oder pro Erbringungszeitraum angesetzt werden.</w:t>
      </w:r>
    </w:p>
    <w:p>
      <w:r>
        <w:t xml:space="preserve">(7) Nicht gesondert erstattungsfähig sind Personalkosten, start- und betriebsstundenunabhängige Instandhaltungskosten, Kosten für die Brennstofflagerungsinfrastruktur sowie Kosten für die Gastransportkapazität.</w:t>
      </w:r>
    </w:p>
    <w:p>
      <w:r>
        <w:rPr>
          <w:color w:val="555555"/>
          <w:sz w:val="17"/>
        </w:rPr>
        <w:t xml:space="preserve">Zitiervorschlag: § 19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