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KapResV — Prüfung und Ausschluss von Geboten und Bietern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Übertragungsnetzbetreiber dürfen die Gebote erst nach Ablauf des Gebotstermins öffnen.</w:t>
      </w:r>
    </w:p>
    <w:p>
      <w:r>
        <w:t xml:space="preserve">(2) Die Übertragungsnetzbetreiber müssen anhand der mit den Geboten abgegebenen Nachweise und Erklärungen prüfen, ob die Gebote zulässig sind.</w:t>
      </w:r>
    </w:p>
    <w:p>
      <w:r>
        <w:t xml:space="preserve">(3) Die Übertragungsnetzbetreiber müssen unzulässige Gebote ausschließen. Ein Gebot ist unzulässig, wenn</w:t>
      </w:r>
    </w:p>
    <w:p>
      <w:pPr>
        <w:ind w:left="420"/>
      </w:pPr>
      <w:r>
        <w:t xml:space="preserve">1. die Erstsicherheit nach § 10 Absatz 1 nicht, nicht rechtzeitig oder nicht vollständig geleistet wurde,</w:t>
      </w:r>
    </w:p>
    <w:p>
      <w:pPr>
        <w:ind w:left="420"/>
      </w:pPr>
      <w:r>
        <w:t xml:space="preserve">2. der Gebotswert den Höchstwert nach § 12 überschreitet,</w:t>
      </w:r>
    </w:p>
    <w:p>
      <w:pPr>
        <w:ind w:left="420"/>
      </w:pPr>
      <w:r>
        <w:t xml:space="preserve">3. die Anforderungen des § 14 nicht erfüllt sind,</w:t>
      </w:r>
    </w:p>
    <w:p>
      <w:pPr>
        <w:ind w:left="420"/>
      </w:pPr>
      <w:r>
        <w:t xml:space="preserve">4. im Falle der Zusammenlegung die Anforderungen des § 15 nicht erfüllt sind,</w:t>
      </w:r>
    </w:p>
    <w:p>
      <w:pPr>
        <w:ind w:left="420"/>
      </w:pPr>
      <w:r>
        <w:t xml:space="preserve">5. die Nachweise oder Erklärungen nach § 16 nicht oder nicht vollständig beigefügt sind,</w:t>
      </w:r>
    </w:p>
    <w:p>
      <w:pPr>
        <w:ind w:left="420"/>
      </w:pPr>
      <w:r>
        <w:t xml:space="preserve">6. die Formatvorgaben der Übertragungsnetzbetreiber nach § 37 Absatz 1 Nummer 2 nicht erfüllt sind oder</w:t>
      </w:r>
    </w:p>
    <w:p>
      <w:pPr>
        <w:ind w:left="420"/>
      </w:pPr>
      <w:r>
        <w:t xml:space="preserve">7. die Anforderungen einer Festlegung der Bundesnetzagentur zur Gebotsabgabe nach § 42 Nummer 3 nicht erfüllt sind.</w:t>
      </w:r>
    </w:p>
    <w:p>
      <w:r>
        <w:t xml:space="preserve">(4) Die Übertragungsnetzbetreiber müssen einen Bieter oder dessen Gebot vom weiteren Verfahren ausschließen, wenn der begründete Verdacht besteht, dass</w:t>
      </w:r>
    </w:p>
    <w:p>
      <w:pPr>
        <w:ind w:left="420"/>
      </w:pPr>
      <w:r>
        <w:t xml:space="preserve">1. der Bieter vorsätzlich oder grob fahrlässig Gebote unter falschen Angaben oder unter Vorlage falscher Nachweise und Erklärungen nach § 16 in dieser oder einer vorangegangenen Ausschreibung abgegeben hat,</w:t>
      </w:r>
    </w:p>
    <w:p>
      <w:pPr>
        <w:ind w:left="420"/>
      </w:pPr>
      <w:r>
        <w:t xml:space="preserve">2. eine Anlage des Bieters den Funktionstest nach § 28 Absatz 1 nicht bestehen wird oder</w:t>
      </w:r>
    </w:p>
    <w:p>
      <w:pPr>
        <w:ind w:left="420"/>
      </w:pPr>
      <w:r>
        <w:t xml:space="preserve">3. der Bieter mit anderen Bietern oder Dritten Absprachen über die Gebotswerte oder die Gebotsmengen der in dieser oder einer vorangegangenen Ausschreibung abgegebenen Gebote oder sonst wettbewerbswidrige Absprachen getroffen hat.</w:t>
      </w:r>
    </w:p>
    <w:p>
      <w:r>
        <w:t xml:space="preserve">Dritte im Sinne von Satz 1 Nummer 3 sind Betreiber von Anlagen, die die Teilnahmevoraussetzungen für die Kapazitätsreserve erfüllen, jedoch in der Ausschreibung, auf die sich der Verdacht der Absprache bezieht, kein Gebot abgegeben haben.</w:t>
      </w:r>
    </w:p>
    <w:p>
      <w:r>
        <w:rPr>
          <w:color w:val="555555"/>
          <w:sz w:val="17"/>
        </w:rPr>
        <w:t xml:space="preserve">Zitiervorschlag: § 17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