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KapResV — Gebote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Für jeden Gebotstermin führen die Übertragungsnetzbetreiber ein Ausschreibungsverfahren für das gesamte Ausschreibungsvolumen des Gebotstermins durch.</w:t>
      </w:r>
    </w:p>
    <w:p>
      <w:r>
        <w:t xml:space="preserve">(2) Jeder Bieter muss sein Gebot verdeckt abgeben. Gebote dürfen nicht bedingt, befristet oder mit einer sonstigen Nebenabrede verbunden werden.</w:t>
      </w:r>
    </w:p>
    <w:p>
      <w:r>
        <w:t xml:space="preserve">(3) Jeder Bieter darf in einer Ausschreibung mehrere Gebote abgeben. Die Gebote dürfen sich nicht auf dieselbe Anlage beziehen.</w:t>
      </w:r>
    </w:p>
    <w:p>
      <w:r>
        <w:t xml:space="preserve">(4) Ein Gebot muss, um im Beschaffungsverfahren berücksichtigt werden zu können, die folgenden Angaben enthalten:</w:t>
      </w:r>
    </w:p>
    <w:p>
      <w:pPr>
        <w:ind w:left="420"/>
      </w:pPr>
      <w:r>
        <w:t xml:space="preserve">1. die Gebotsmenge und die dieser zugrunde liegende Reserveleistung in Megawatt ohne Nachkommastellen,</w:t>
      </w:r>
    </w:p>
    <w:p>
      <w:pPr>
        <w:ind w:left="420"/>
      </w:pPr>
      <w:r>
        <w:t xml:space="preserve">2. den Gebotswert in Euro mit zwei Nachkommastellen,</w:t>
      </w:r>
    </w:p>
    <w:p>
      <w:pPr>
        <w:ind w:left="420"/>
      </w:pPr>
      <w:r>
        <w:t xml:space="preserve">3. Name, Anschrift, Telefonnummer und E-Mail-Adresse des Bieters,</w:t>
      </w:r>
    </w:p>
    <w:p>
      <w:pPr>
        <w:ind w:left="420"/>
      </w:pPr>
      <w:r>
        <w:t xml:space="preserve">4. die Bezeichnung der Anlage, mit der die Reserveleistung erbracht werden soll, und</w:t>
      </w:r>
    </w:p>
    <w:p>
      <w:pPr>
        <w:ind w:left="420"/>
      </w:pPr>
      <w:r>
        <w:t xml:space="preserve">5. die Höchsterbringungsdauer, wobei bei einer den Wert von 2 400 Minuten übersteigenden Höchsterbringungsdauer maximal 2 400 Minuten berücksichtigungsfähig sind.</w:t>
      </w:r>
    </w:p>
    <w:p>
      <w:r>
        <w:t xml:space="preserve">Die nach Satz 1 Nummer 1 anzugebende Gebotsmenge ermittelt sich aus der Multiplikation der Reserveleistung der Anlage, mit der die Reserveleistung erbracht werden soll, und des in der Anlage zu dieser Verordnung aufgeführten einschlägigen Reduktionsfaktors.</w:t>
      </w:r>
    </w:p>
    <w:p>
      <w:r>
        <w:t xml:space="preserve">(5) Handelt es sich bei dem Bieter um eine rechtsfähige Personengesellschaft oder um eine juristische Person, muss jedes Gebot zur Durchführung der Ausschreibung zusätzlich folgende Angaben enthalten:</w:t>
      </w:r>
    </w:p>
    <w:p>
      <w:pPr>
        <w:ind w:left="420"/>
      </w:pPr>
      <w:r>
        <w:t xml:space="preserve">1. den Sitz,</w:t>
      </w:r>
    </w:p>
    <w:p>
      <w:pPr>
        <w:ind w:left="420"/>
      </w:pPr>
      <w:r>
        <w:t xml:space="preserve">2. den Namen einer natürlichen Person, die zur Kommunikation mit den Übertragungsnetzbetreibern und zum Abschluss von Rechtsgeschäften nach dieser Verordnung für die rechtsfähige Personengesellschaft oder juristische Person befugt ist,</w:t>
      </w:r>
    </w:p>
    <w:p>
      <w:pPr>
        <w:ind w:left="420"/>
      </w:pPr>
      <w:r>
        <w:t xml:space="preserve">3. die Handelsregisternummer, wenn die rechtsfähige Personengesellschaft oder juristische Person im Handelsregister eingetragen ist, und</w:t>
      </w:r>
    </w:p>
    <w:p>
      <w:pPr>
        <w:ind w:left="420"/>
      </w:pPr>
      <w:r>
        <w:t xml:space="preserve">4. für den Fall, dass mindestens 25 Prozent der Stimmrechte oder des Kapitals bei anderen rechtsfähigen Personengesellschaften oder juristischen Personen liegen, den Namen und Sitz dieser rechtsfähigen Personengesellschaften oder juristischen Personen.</w:t>
      </w:r>
    </w:p>
    <w:p>
      <w:r>
        <w:t xml:space="preserve">(6) Die Gebotsmenge muss jeweils mindestens 1 Megawatt betragen. Sie darf nur aus einer Anlage erbracht werden. Ein Gebot, das sich auf mehrere Anlagen bezieht, ist unzulässig. § 15 bleibt unberührt.</w:t>
      </w:r>
    </w:p>
    <w:p>
      <w:r>
        <w:t xml:space="preserve">(7) Die Gebotsmenge, die Reserveleistung und der Gebotswert sind einheitlich für den gesamten Erbringungszeitraum anzugeben.</w:t>
      </w:r>
    </w:p>
    <w:p>
      <w:r>
        <w:rPr>
          <w:color w:val="555555"/>
          <w:sz w:val="17"/>
        </w:rPr>
        <w:t xml:space="preserve">Zitiervorschlag: § 14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