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KapResV — Bekanntmachung der Beschaffung</w:t>
      </w:r>
    </w:p>
    <w:p>
      <w:r>
        <w:rPr>
          <w:color w:val="555555"/>
          <w:sz w:val="18"/>
        </w:rPr>
        <w:t xml:space="preserve">Kapazitätsreserveverordnung</w:t>
      </w:r>
    </w:p>
    <w:p>
      <w:r>
        <w:rPr>
          <w:color w:val="555555"/>
          <w:sz w:val="18"/>
        </w:rPr>
        <w:t xml:space="preserve">Stand: 07.11.2025 (konsolidierte Textfassung, kein amtliches Inkrafttretensdatum)</w:t>
      </w:r>
    </w:p>
    <w:p>
      <w:r>
        <w:t xml:space="preserve">(1) Die Übertragungsnetzbetreiber müssen die Beschaffung spätestens drei Monate vor dem Gebotstermin auf einer gemeinsamen Internetplattform bekannt machen.</w:t>
      </w:r>
    </w:p>
    <w:p>
      <w:r>
        <w:t xml:space="preserve">(2) Die Bekanntmachung muss folgende Angaben enthalten:</w:t>
      </w:r>
    </w:p>
    <w:p>
      <w:pPr>
        <w:ind w:left="420"/>
      </w:pPr>
      <w:r>
        <w:t xml:space="preserve">1. den Gebotstermin,</w:t>
      </w:r>
    </w:p>
    <w:p>
      <w:pPr>
        <w:ind w:left="420"/>
      </w:pPr>
      <w:r>
        <w:t xml:space="preserve">2. das Ausschreibungsvolumen,</w:t>
      </w:r>
    </w:p>
    <w:p>
      <w:pPr>
        <w:ind w:left="420"/>
      </w:pPr>
      <w:r>
        <w:t xml:space="preserve">3. die Teilnahmevoraussetzungen und Festlegungen nach § 9 Absatz 1 Satz 2 und Absatz 2, einschließlich eines Hinweises auf die Anforderungen nach § 9 Absatz 1,</w:t>
      </w:r>
    </w:p>
    <w:p>
      <w:pPr>
        <w:ind w:left="420"/>
      </w:pPr>
      <w:r>
        <w:t xml:space="preserve">3a. die Reduktionsfaktoren nach der Anlage zu dieser Verordnung, aufgeschlüsselt nach der jeweiligen Höchsterbringungsdauer,</w:t>
      </w:r>
    </w:p>
    <w:p>
      <w:pPr>
        <w:ind w:left="420"/>
      </w:pPr>
      <w:r>
        <w:t xml:space="preserve">4. den Höchstwert nach § 12 Absatz 2,</w:t>
      </w:r>
    </w:p>
    <w:p>
      <w:pPr>
        <w:ind w:left="420"/>
      </w:pPr>
      <w:r>
        <w:t xml:space="preserve">5. den Erbringungszeitraum,</w:t>
      </w:r>
    </w:p>
    <w:p>
      <w:pPr>
        <w:ind w:left="420"/>
      </w:pPr>
      <w:r>
        <w:t xml:space="preserve">6. die Art, Form und Verzinsung der Sicherheitsleistung, soweit die Übertragungsnetzbetreiber Bestimmungen nach § 10 Absatz 4 Satz 1 getroffen haben,</w:t>
      </w:r>
    </w:p>
    <w:p>
      <w:pPr>
        <w:ind w:left="420"/>
      </w:pPr>
      <w:r>
        <w:t xml:space="preserve">7. die Standardbedingungen für alle Kapazitätsreserveanlagen nach § 37 Absatz 1 Nummer 1,</w:t>
      </w:r>
    </w:p>
    <w:p>
      <w:pPr>
        <w:ind w:left="420"/>
      </w:pPr>
      <w:r>
        <w:t xml:space="preserve">8. die Formatvorgaben für die Gebotsabgabe einschließlich der Angabe, ob das Verfahren postalisch oder elektronisch stattfindet, und</w:t>
      </w:r>
    </w:p>
    <w:p>
      <w:pPr>
        <w:ind w:left="420"/>
      </w:pPr>
      <w:r>
        <w:t xml:space="preserve">9. die Festlegungen der Bundesnetzagentur nach § 42, soweit sie die Teilnahmevoraussetzungen, die Gebotsabgabe oder das Zuschlagsverfahren betreffen.</w:t>
      </w:r>
    </w:p>
    <w:p>
      <w:r>
        <w:rPr>
          <w:color w:val="555555"/>
          <w:sz w:val="17"/>
        </w:rPr>
        <w:t xml:space="preserve">Zitiervorschlag: § 11 KapResV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https://recht.nulegal.eu/gesetze/KapResV/11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