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KapResV — Sicherheitsleistung</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Jeder Bieter muss bis zum Gebotstermin eine Erstsicherheit leisten. Die Erstsicherheit beträgt 15 Prozent der für ein Vertragsjahr höchstens erzielbaren Vergütung.</w:t>
      </w:r>
    </w:p>
    <w:p>
      <w:r>
        <w:t xml:space="preserve">(2) Jeder bezuschlagte Bieter muss zusätzlich zu Absatz 1 spätestens am zehnten Werktag nach Bekanntgabe der Zuschlagserteilung eine Zweitsicherheit in Höhe von 20 Prozent der für den gesamten Erbringungszeitraum angebotenen Vergütung, mindestens jedoch 10 Prozent der für den gesamten Erbringungszeitraum höchstens erzielbaren Vergütung, leisten.</w:t>
      </w:r>
    </w:p>
    <w:p>
      <w:r>
        <w:t xml:space="preserve">(3) Für die Berechnung der höchstens erzielbaren Vergütung nach den Absätzen 1 und 2 ist der für die jeweilige Ausschreibung geltende Höchstwert nach § 12 als Zuschlagswert zugrunde zu legen.</w:t>
      </w:r>
    </w:p>
    <w:p>
      <w:r>
        <w:t xml:space="preserve">(4) Die Übertragungsnetzbetreiber dürfen Art und Verzinsung der Sicherheitsleistung jeweils vor der Durchführung des Beschaffungsverfahrens in Abstimmung mit der Bundesnetzagentur bestimmen. Treffen sie keine Regelungen, ist die Sicherheitsleistung durch Stellung eines Bürgen zu erbringen. Der Bürge muss eine Person sein, die</w:t>
      </w:r>
    </w:p>
    <w:p>
      <w:pPr>
        <w:ind w:left="420"/>
      </w:pPr>
      <w:r>
        <w:t xml:space="preserve">1. nach § 32 des Kreditwesengesetzes oder nach dem Recht eines Mitgliedstaates der Europäischen Union eine Erlaubnis hat, Bankgeschäfte zu betreiben oder ohne Erlaubnis das Recht hat, Bankgeschäfte in einem Mitgliedstaat der Europäischen Union zu betreiben oder</w:t>
      </w:r>
    </w:p>
    <w:p>
      <w:pPr>
        <w:ind w:left="420"/>
      </w:pPr>
      <w:r>
        <w:t xml:space="preserve">2. nach § 8 Absatz 1 des Versicherungsaufsichtsgesetzes oder nach dem Recht eines Mitgliedstaates der Europäischen Union eine Erlaubnis zum Geschäftsbetrieb als Versicherungsunternehmen hat oder ohne Erlaubnis das Recht zum Geschäftsbetrieb als Versicherungsunternehmen in einem Mitgliedstaat der Europäischen Union hat.</w:t>
      </w:r>
    </w:p>
    <w:p>
      <w:r>
        <w:rPr>
          <w:color w:val="555555"/>
          <w:sz w:val="17"/>
        </w:rPr>
        <w:t xml:space="preserve">Zitiervorschlag: § 10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