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KapMuG 2024 — Evaluierung</w:t>
      </w:r>
    </w:p>
    <w:p>
      <w:r>
        <w:rPr>
          <w:color w:val="555555"/>
          <w:sz w:val="18"/>
        </w:rPr>
        <w:t xml:space="preserve">Kapitalanleger-Musterverfahrensgesetz</w:t>
      </w:r>
    </w:p>
    <w:p>
      <w:r>
        <w:rPr>
          <w:color w:val="555555"/>
          <w:sz w:val="18"/>
        </w:rPr>
        <w:t xml:space="preserve">Stand: 20.07.2024 (konsolidierte Textfassung, kein amtliches Inkrafttretensdatum)</w:t>
      </w:r>
    </w:p>
    <w:p>
      <w:r>
        <w:t xml:space="preserve">Dieses Gesetz ist fünf Jahre nach dem Inkrafttreten zu evaluieren.</w:t>
      </w:r>
    </w:p>
    <w:p>
      <w:r>
        <w:rPr>
          <w:color w:val="555555"/>
          <w:sz w:val="17"/>
        </w:rPr>
        <w:t xml:space="preserve">Zitiervorschlag: § 31 KapMuG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https://recht.nulegal.eu/gesetze/KapMuG%202024/31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