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KapMuG 2024 — Übergangsvorschriften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Auf Musterverfahren, in denen vor dem 1. November 2012 bereits mündlich verhandelt worden ist, ist das Kapitalanleger-Musterverfahrensgesetz in seiner bis einschließlich 1. November 2012 geltenden Fassung weiterhin anzuwenden.</w:t>
      </w:r>
    </w:p>
    <w:p>
      <w:r>
        <w:t xml:space="preserve">(2) Auf Musterverfahren, die aus einem vor dem 20. Juli 2024 gestellten Musterverfahrensantrag herrühren, ist das Kapitalanleger-Musterverfahrensgesetz in seiner bis einschließlich 19. Juli 2024 geltenden Fassung weiterhin anzuwenden.</w:t>
      </w:r>
    </w:p>
    <w:p>
      <w:r>
        <w:rPr>
          <w:color w:val="555555"/>
          <w:sz w:val="17"/>
        </w:rPr>
        <w:t xml:space="preserve">Zitiervorschlag: § 30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