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KapMuG 2024 — Zustellung des Vergleichs; Austritt</w:t>
      </w:r>
    </w:p>
    <w:p>
      <w:r>
        <w:rPr>
          <w:color w:val="555555"/>
          <w:sz w:val="18"/>
        </w:rPr>
        <w:t xml:space="preserve">Kapitalanleger-Musterverfahrensgesetz</w:t>
      </w:r>
    </w:p>
    <w:p>
      <w:r>
        <w:rPr>
          <w:color w:val="555555"/>
          <w:sz w:val="18"/>
        </w:rPr>
        <w:t xml:space="preserve">Stand: 20.07.2024 (konsolidierte Textfassung, kein amtliches Inkrafttretensdatum)</w:t>
      </w:r>
    </w:p>
    <w:p>
      <w:r>
        <w:t xml:space="preserve">(1) Der genehmigte Vergleich wird den Beigeladenen zugestellt. Die Zustellung kann durch öffentliche Bekanntmachung im Musterverfahrensregister ersetzt werden.</w:t>
      </w:r>
    </w:p>
    <w:p>
      <w:r>
        <w:t xml:space="preserve">(2) Beigeladene können innerhalb eines Monats ab Zustellung des Vergleichs ihren Austritt aus dem Vergleich erklären. Der Austritt muss schriftlich gegenüber dem Gericht erklärt werden; er kann vor der Geschäftsstelle zu Protokoll erklärt werden.</w:t>
      </w:r>
    </w:p>
    <w:p>
      <w:r>
        <w:t xml:space="preserve">(3) Die Beigeladenen sind mit der Zustellung oder Bekanntmachung zu belehren über</w:t>
      </w:r>
    </w:p>
    <w:p>
      <w:pPr>
        <w:ind w:left="420"/>
      </w:pPr>
      <w:r>
        <w:t xml:space="preserve">1. die Wirkung des Vergleichs,</w:t>
      </w:r>
    </w:p>
    <w:p>
      <w:pPr>
        <w:ind w:left="420"/>
      </w:pPr>
      <w:r>
        <w:t xml:space="preserve">2. das Recht zum Austritt aus dem Vergleich und</w:t>
      </w:r>
    </w:p>
    <w:p>
      <w:pPr>
        <w:ind w:left="420"/>
      </w:pPr>
      <w:r>
        <w:t xml:space="preserve">3. die für den Austritt aus dem Vergleich einzuhaltende Form und Frist.</w:t>
      </w:r>
    </w:p>
    <w:p>
      <w:r>
        <w:rPr>
          <w:color w:val="555555"/>
          <w:sz w:val="17"/>
        </w:rPr>
        <w:t xml:space="preserve">Zitiervorschlag: § 22 KapMuG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https://recht.nulegal.eu/gesetze/KapMuG%202024/22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