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KapMuG 2024 — Genehmigung und Wirksamkeit des Vergleichs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Das Gericht genehmigt den Vergleich durch unanfechtbaren Beschluss, wenn es ihn unter Berücksichtigung des bisherigen Sach- und Streitstandes des Musterverfahrens und des Ergebnisses der Anhörung der Beigeladenen als angemessene gütliche Beilegung der ausgesetzten Rechtsstreitigkeiten erachtet.</w:t>
      </w:r>
    </w:p>
    <w:p>
      <w:r>
        <w:t xml:space="preserve">(2) Nach der Genehmigung kann der Vergleich nicht mehr widerrufen werden.</w:t>
      </w:r>
    </w:p>
    <w:p>
      <w:r>
        <w:t xml:space="preserve">(3) Der genehmigte Vergleich wird nur wirksam, wenn weniger als 30 Prozent der Beigeladenen nach § 22 Absatz 2 ihren Austritt aus dem Vergleich erklären.</w:t>
      </w:r>
    </w:p>
    <w:p>
      <w:r>
        <w:rPr>
          <w:color w:val="555555"/>
          <w:sz w:val="17"/>
        </w:rPr>
        <w:t xml:space="preserve">Zitiervorschlag: § 21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https://recht.nulegal.eu/gesetze/KapMuG%202024/21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