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19 KapMuG 2024 — Musterentscheid</w:t>
      </w:r>
    </w:p>
    <w:p>
      <w:r>
        <w:rPr>
          <w:color w:val="555555"/>
          <w:sz w:val="18"/>
        </w:rPr>
        <w:t xml:space="preserve">Kapitalanleger-Musterverfahrensgesetz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Das Oberlandesgericht erlässt auf Grund mündlicher Verhandlung den Musterentscheid durch Beschluss. Der Musterentscheid wird den Beteiligten und den Anmeldern zugestellt. Die Zustellung kann durch öffentliche Bekanntmachung im Musterverfahrensregister ersetzt werden.</w:t>
      </w:r>
    </w:p>
    <w:p>
      <w:r>
        <w:t xml:space="preserve">(2) Über die im Musterverfahren angefallenen Kosten entscheidet das Prozessgericht.</w:t>
      </w:r>
    </w:p>
    <w:p>
      <w:r>
        <w:rPr>
          <w:color w:val="555555"/>
          <w:sz w:val="17"/>
        </w:rPr>
        <w:t xml:space="preserve">Zitiervorschlag: § 19 KapMuG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https://recht.nulegal.eu/gesetze/KapMuG%202024/19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