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KapMuG 2024 — Klagerücknahme; Neubestimmung des Musterklägers; Verfahrensbeendigung</w:t>
      </w:r>
    </w:p>
    <w:p>
      <w:r>
        <w:rPr>
          <w:color w:val="555555"/>
          <w:sz w:val="18"/>
        </w:rPr>
        <w:t xml:space="preserve">Kapitalanleger-Musterverfahrensgesetz</w:t>
      </w:r>
    </w:p>
    <w:p>
      <w:r>
        <w:rPr>
          <w:color w:val="555555"/>
          <w:sz w:val="18"/>
        </w:rPr>
        <w:t xml:space="preserve">Stand: 20.07.2024 (konsolidierte Textfassung, kein amtliches Inkrafttretensdatum)</w:t>
      </w:r>
    </w:p>
    <w:p>
      <w:r>
        <w:t xml:space="preserve">(1) Der Musterkläger und die Beigeladenen können ihre jeweilige Klage im Ausgangsverfahren innerhalb von einem Monat ab Zustellung des Aussetzungsbeschlusses ohne Einwilligung des Beklagten zurücknehmen, auch wenn bereits zur Hauptsache mündlich verhandelt wurde.</w:t>
      </w:r>
    </w:p>
    <w:p>
      <w:r>
        <w:t xml:space="preserve">(2) Der Musterkläger und die Beigeladenen können ihre jeweilige Klage in einem nach diesem Gesetz unterbrochenen oder ausgesetzten Ausgangsverfahren jederzeit ohne Einwilligung des Beklagten zurücknehmen, wenn</w:t>
      </w:r>
    </w:p>
    <w:p>
      <w:pPr>
        <w:ind w:left="420"/>
      </w:pPr>
      <w:r>
        <w:t xml:space="preserve">1. diese Klage die Ansprüche oder Rechtsverhältnisse oder Feststellungsziele und den Lebenssachverhalt einer später erhobenen Verbandsklage nach dem Verbraucherrechtedurchsetzungsgesetz betrifft und</w:t>
      </w:r>
    </w:p>
    <w:p>
      <w:pPr>
        <w:ind w:left="420"/>
      </w:pPr>
      <w:r>
        <w:t xml:space="preserve">2. Musterkläger und Beigeladene ihre Ansprüche oder Rechtsverhältnisse zu dieser Verbandsklage anmelden können.</w:t>
      </w:r>
    </w:p>
    <w:p>
      <w:r>
        <w:t xml:space="preserve">Eine im Fall des Satzes 1 ohne vorherige Rücknahme der Klage erklärte Anmeldung zu einer Verbandsklage bewirkt keine Bindung nach § 11 Absatz 3 Satz 1 des Verbraucherrechtedurchsetzungsgesetzes.</w:t>
      </w:r>
    </w:p>
    <w:p>
      <w:r>
        <w:t xml:space="preserve">(3) Die Klagerücknahme eines Beigeladenen hat auf den Fortgang des Musterverfahrens keinen Einfluss.</w:t>
      </w:r>
    </w:p>
    <w:p>
      <w:r>
        <w:t xml:space="preserve">(4) Nimmt der Musterkläger im Laufe des Musterverfahrens seine Klage im Ausgangsverfahren zurück oder wurde über das Vermögen des Musterklägers ein Insolvenzverfahren eröffnet, so bestimmt das Oberlandesgericht nach billigem Ermessen einen neuen Musterkläger nach Maßgabe von § 9 Absatz 3 Satz 2.</w:t>
      </w:r>
    </w:p>
    <w:p>
      <w:r>
        <w:t xml:space="preserve">(5) Das Gleiche gilt, wenn der Prozessbevollmächtigte des Musterklägers die Aussetzung des Musterverfahrens aus einem der folgenden Gründe beantragt:</w:t>
      </w:r>
    </w:p>
    <w:p>
      <w:pPr>
        <w:ind w:left="420"/>
      </w:pPr>
      <w:r>
        <w:t xml:space="preserve">1. der Musterkläger ist gestorben,</w:t>
      </w:r>
    </w:p>
    <w:p>
      <w:pPr>
        <w:ind w:left="420"/>
      </w:pPr>
      <w:r>
        <w:t xml:space="preserve">2. der Musterkläger ist nicht mehr prozessfähig,</w:t>
      </w:r>
    </w:p>
    <w:p>
      <w:pPr>
        <w:ind w:left="420"/>
      </w:pPr>
      <w:r>
        <w:t xml:space="preserve">3. der gesetzliche Vertreter des Musterklägers ist gestorben oder seine Vertretungsbefugnis ist weggefallen, ohne dass der Musterkläger prozessfähig geworden ist,</w:t>
      </w:r>
    </w:p>
    <w:p>
      <w:pPr>
        <w:ind w:left="420"/>
      </w:pPr>
      <w:r>
        <w:t xml:space="preserve">4. eine Nachlassverwaltung ist angeordnet oder</w:t>
      </w:r>
    </w:p>
    <w:p>
      <w:pPr>
        <w:ind w:left="420"/>
      </w:pPr>
      <w:r>
        <w:t xml:space="preserve">5. die Nacherbfolge ist eingetreten.</w:t>
      </w:r>
    </w:p>
    <w:p>
      <w:r>
        <w:t xml:space="preserve">(6) Ein Musterentscheid ergeht nicht, wenn der Musterkläger, die Musterbeklagten und die Beigeladenen übereinstimmend erklären, dass sie das Musterverfahren beenden wollen. In diesem Fall stellt das Oberlandesgericht durch unanfechtbaren Beschluss die Beendigung des Musterverfahrens fest. Das Oberlandesgericht macht den Beschluss unverzüglich im Musterverfahrensregister öffentlich bekannt.</w:t>
      </w:r>
    </w:p>
    <w:p>
      <w:r>
        <w:rPr>
          <w:color w:val="555555"/>
          <w:sz w:val="17"/>
        </w:rPr>
        <w:t xml:space="preserve">Zitiervorschlag: § 18 KapMuG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https://recht.nulegal.eu/gesetze/KapMuG%202024/18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