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KapMuG 2024 — Vorlage von Beweismitteln</w:t>
      </w:r>
    </w:p>
    <w:p>
      <w:r>
        <w:rPr>
          <w:color w:val="555555"/>
          <w:sz w:val="18"/>
        </w:rPr>
        <w:t xml:space="preserve">Kapitalanleger-Musterverfahrensgesetz</w:t>
      </w:r>
    </w:p>
    <w:p>
      <w:r>
        <w:rPr>
          <w:color w:val="555555"/>
          <w:sz w:val="18"/>
        </w:rPr>
        <w:t xml:space="preserve">Stand: 20.07.2024 (konsolidierte Textfassung, kein amtliches Inkrafttretensdatum)</w:t>
      </w:r>
    </w:p>
    <w:p>
      <w:r>
        <w:t xml:space="preserve">(1) Auf Antrag des Musterklägers ordnet das Oberlandesgericht an, dass ein Musterbeklagter oder ein Dritter in seinem Besitz befindliche Beweismittel vorlegt, die für die Beweisführung des Musterklägers erforderlich sind, wenn der Musterkläger</w:t>
      </w:r>
    </w:p>
    <w:p>
      <w:pPr>
        <w:ind w:left="420"/>
      </w:pPr>
      <w:r>
        <w:t xml:space="preserve">1. glaubhaft macht, einen in § 1 Absatz 1 genannten Anspruch zu haben, und</w:t>
      </w:r>
    </w:p>
    <w:p>
      <w:pPr>
        <w:ind w:left="420"/>
      </w:pPr>
      <w:r>
        <w:t xml:space="preserve">2. die Beweismittel so genau bezeichnet, wie dies auf Grundlage der mit zumutbarem Aufwand zugänglichen Tatsachen möglich ist.</w:t>
      </w:r>
    </w:p>
    <w:p>
      <w:r>
        <w:t xml:space="preserve">(2) Auf Antrag eines Musterbeklagten ordnet das Oberlandesgericht an, dass der Musterkläger, ein Beigeladener oder ein Dritter in seinem Besitz befindliche Beweismittel vorlegt, die für die Verteidigung des Musterbeklagten gegen einen in § 1 Absatz 1 genannten Anspruch erforderlich sind, wenn der Musterbeklagte die Beweismittel so genau bezeichnet, wie dies auf Grundlage der mit zumutbarem Aufwand zugänglichen Tatsachen möglich ist.</w:t>
      </w:r>
    </w:p>
    <w:p>
      <w:r>
        <w:t xml:space="preserve">(3) Eine Anordnung nach Absatz 1 oder 2 hat zu unterbleiben, soweit sie unter Berücksichtigung der berechtigten Interessen der betroffenen Beteiligten und Dritten unverhältnismäßig wäre. Bei der Abwägung sind insbesondere zu berücksichtigen:</w:t>
      </w:r>
    </w:p>
    <w:p>
      <w:pPr>
        <w:ind w:left="420"/>
      </w:pPr>
      <w:r>
        <w:t xml:space="preserve">1. in welchem Umfang der Antrag auf zugängliche Informationen und Beweismittel gestützt wird,</w:t>
      </w:r>
    </w:p>
    <w:p>
      <w:pPr>
        <w:ind w:left="420"/>
      </w:pPr>
      <w:r>
        <w:t xml:space="preserve">2. der Umfang der Beweismittel und die mit deren Vorlage verbundenen Kosten, insbesondere, wenn die Beweismittel von einem Dritten vorzulegen wären,</w:t>
      </w:r>
    </w:p>
    <w:p>
      <w:pPr>
        <w:ind w:left="420"/>
      </w:pPr>
      <w:r>
        <w:t xml:space="preserve">3. der Ausschluss der Ausforschung von Tatsachen, die für die Durchsetzung eines in § 1 Absatz 1 genannten Anspruchs oder für die Verteidigung gegen einen solchen Anspruch nicht relevant sind,</w:t>
      </w:r>
    </w:p>
    <w:p>
      <w:pPr>
        <w:ind w:left="420"/>
      </w:pPr>
      <w:r>
        <w:t xml:space="preserve">4. der Schutz von Betriebs- und Geschäftsgeheimnissen und sonstiger vertraulicher Informationen und welche Vorkehrungen zu deren Schutz bestehen.</w:t>
      </w:r>
    </w:p>
    <w:p>
      <w:r>
        <w:t xml:space="preserve">(4) Dritte sind zur Vorlage nicht verpflichtet, soweit sie zur Zeugnisverweigerung gemäß den §§ 383 bis 385 der Zivilprozessordnung berechtigt sind. Die §§ 386 bis 390 der Zivilprozessordnung gelten entsprechend.</w:t>
      </w:r>
    </w:p>
    <w:p>
      <w:r>
        <w:t xml:space="preserve">(5) Die auf Grund einer Anordnung nach Absatz 1 oder 2 vorgelegten Beweismittel dürfen in einem Strafverfahren oder in einem Verfahren nach dem Gesetz über Ordnungswidrigkeiten wegen einer vor der Vorlage eines Beweismittels begangenen Tat gegen den Verpflichteten oder gegen einen in § 52 Absatz 1 der Strafprozessordnung bezeichneten Angehörigen nur mit Zustimmung des Verpflichteten verwertet werden. Dies gilt auch, wenn im Rahmen einer Zeugen- oder Parteivernehmung auf das Beweismittel Bezug genommen wird. Die Sätze 1 und 2 sind in Verfahren gegen Unternehmen nicht anzuwenden.</w:t>
      </w:r>
    </w:p>
    <w:p>
      <w:r>
        <w:rPr>
          <w:color w:val="555555"/>
          <w:sz w:val="17"/>
        </w:rPr>
        <w:t xml:space="preserve">Zitiervorschlag: § 17 KapMuG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https://recht.nulegal.eu/gesetze/KapMuG%202024/17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