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KapMuG 2024 — Elektronische Aktenführung</w:t>
      </w:r>
    </w:p>
    <w:p>
      <w:r>
        <w:rPr>
          <w:color w:val="555555"/>
          <w:sz w:val="18"/>
        </w:rPr>
        <w:t xml:space="preserve">Kapitalanleger-Musterverfahrensgesetz</w:t>
      </w:r>
    </w:p>
    <w:p>
      <w:r>
        <w:rPr>
          <w:color w:val="555555"/>
          <w:sz w:val="18"/>
        </w:rPr>
        <w:t xml:space="preserve">Stand: 20.07.2024 (konsolidierte Textfassung, kein amtliches Inkrafttretensdatum)</w:t>
      </w:r>
    </w:p>
    <w:p>
      <w:r>
        <w:t xml:space="preserve">Abweichend von § 298a Absatz 1a Satz 1 der Zivilprozessordnung werden die Prozessakten des erstinstanzlichen Musterverfahrens ab dem 1. Januar 2025 elektronisch geführt.</w:t>
      </w:r>
    </w:p>
    <w:p>
      <w:r>
        <w:rPr>
          <w:color w:val="555555"/>
          <w:sz w:val="17"/>
        </w:rPr>
        <w:t xml:space="preserve">Zitiervorschlag: § 15 KapMuG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https://recht.nulegal.eu/gesetze/KapMuG%202024/15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