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KapMuG 2024 — Allgemeine Verfahrensregeln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Auf das erstinstanzliche Musterverfahren sind die im ersten Rechtszug für das Verfahren vor den Landgerichten geltenden Vorschriften der Zivilprozessordnung entsprechend anzuwenden, soweit nichts Abweichendes bestimmt ist. § 278 Absatz 2 bis 5 sowie die §§ 306, 348 bis 350 und 379 der Zivilprozessordnung sind nicht anzuwenden. Die Beigeladenen werden im Rubrum von Beschlüssen mit Ausnahme des Musterentscheids nicht bezeichnet.</w:t>
      </w:r>
    </w:p>
    <w:p>
      <w:r>
        <w:t xml:space="preserve">(2) Die Zustellung von Terminsladungen und Zwischenentscheidungen an Beigeladene kann durch öffentliche Bekanntmachung im Musterverfahrensregister ersetzt werden. Zwischen öffentlicher Bekanntmachung und Terminstag müssen mindestens zwei Wochen liegen.</w:t>
      </w:r>
    </w:p>
    <w:p>
      <w:r>
        <w:rPr>
          <w:color w:val="555555"/>
          <w:sz w:val="17"/>
        </w:rPr>
        <w:t xml:space="preserve">Zitiervorschlag: § 14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