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KapMuG 2024 — Anmeldung eines Anspruchs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Binnen sechs Monaten ab Bekanntmachung des Eröffnungsbeschlusses kann gegenüber dem Oberlandesgericht ein Anspruch zum Musterverfahren schriftlich angemeldet werden. Der Anmelder muss sich durch einen Rechtsanwalt vertreten lassen.</w:t>
      </w:r>
    </w:p>
    <w:p>
      <w:r>
        <w:t xml:space="preserve">(2) Die Anmeldung eines Anspruchs muss enthalten:</w:t>
      </w:r>
    </w:p>
    <w:p>
      <w:pPr>
        <w:ind w:left="420"/>
      </w:pPr>
      <w:r>
        <w:t xml:space="preserve">1. die Bezeichnung des Anmelders und seiner gesetzlichen Vertreter,</w:t>
      </w:r>
    </w:p>
    <w:p>
      <w:pPr>
        <w:ind w:left="420"/>
      </w:pPr>
      <w:r>
        <w:t xml:space="preserve">2. das Aktenzeichen des Musterverfahrens,</w:t>
      </w:r>
    </w:p>
    <w:p>
      <w:pPr>
        <w:ind w:left="420"/>
      </w:pPr>
      <w:r>
        <w:t xml:space="preserve">3. die Bezeichnung der Musterbeklagten, gegen die sich der Anspruch richtet, und</w:t>
      </w:r>
    </w:p>
    <w:p>
      <w:pPr>
        <w:ind w:left="420"/>
      </w:pPr>
      <w:r>
        <w:t xml:space="preserve">4. die Bezeichnung von Grund und Höhe des Anspruchs, der angemeldet werden soll.</w:t>
      </w:r>
    </w:p>
    <w:p>
      <w:r>
        <w:t xml:space="preserve">(3) Die Anmeldung ist unzulässig, soweit wegen desselben Anspruchs bereits Klage erhoben wurde.</w:t>
      </w:r>
    </w:p>
    <w:p>
      <w:r>
        <w:t xml:space="preserve">(4) Die Anmeldung ist den darin bezeichneten Musterbeklagten zuzustellen.</w:t>
      </w:r>
    </w:p>
    <w:p>
      <w:r>
        <w:rPr>
          <w:color w:val="555555"/>
          <w:sz w:val="17"/>
        </w:rPr>
        <w:t xml:space="preserve">Zitiervorschlag: § 13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