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KapMuG 2012 — Beteiligte des Musterverfahrens</w:t>
      </w:r>
    </w:p>
    <w:p>
      <w:r>
        <w:rPr>
          <w:color w:val="555555"/>
          <w:sz w:val="18"/>
        </w:rPr>
        <w:t xml:space="preserve">Kapitalanleger-Musterverfahrensgesetz</w:t>
      </w:r>
    </w:p>
    <w:p>
      <w:r>
        <w:rPr>
          <w:color w:val="555555"/>
          <w:sz w:val="18"/>
        </w:rPr>
        <w:t xml:space="preserve">Historische Fassung: Stand 01.01.2024 bis 20.07.2024. Dies ist nicht die aktuelle Fassung.</w:t>
      </w:r>
    </w:p>
    <w:p>
      <w:r>
        <w:t xml:space="preserve">(1) Beteiligte des Musterverfahrens sind:</w:t>
      </w:r>
    </w:p>
    <w:p>
      <w:pPr>
        <w:ind w:left="420"/>
      </w:pPr>
      <w:r>
        <w:t xml:space="preserve">1. der Musterkläger,</w:t>
      </w:r>
    </w:p>
    <w:p>
      <w:pPr>
        <w:ind w:left="420"/>
      </w:pPr>
      <w:r>
        <w:t xml:space="preserve">2. die Musterbeklagten,</w:t>
      </w:r>
    </w:p>
    <w:p>
      <w:pPr>
        <w:ind w:left="420"/>
      </w:pPr>
      <w:r>
        <w:t xml:space="preserve">3. die Beigeladenen.</w:t>
      </w:r>
    </w:p>
    <w:p>
      <w:r>
        <w:t xml:space="preserve">(2) Das Oberlandesgericht bestimmt nach billigem Ermessen durch Beschluss den Musterkläger aus den Klägern, deren Verfahren nach § 8 Absatz 1 ausgesetzt wurden. Zu berücksichtigen sind:</w:t>
      </w:r>
    </w:p>
    <w:p>
      <w:pPr>
        <w:ind w:left="420"/>
      </w:pPr>
      <w:r>
        <w:t xml:space="preserve">1. die Eignung des Klägers, das Musterverfahren unter Berücksichtigung der Interessen der Beigeladenen angemessen zu führen,</w:t>
      </w:r>
    </w:p>
    <w:p>
      <w:pPr>
        <w:ind w:left="420"/>
      </w:pPr>
      <w:r>
        <w:t xml:space="preserve">2. eine Einigung mehrerer Kläger auf einen Musterkläger und</w:t>
      </w:r>
    </w:p>
    <w:p>
      <w:pPr>
        <w:ind w:left="420"/>
      </w:pPr>
      <w:r>
        <w:t xml:space="preserve">3. die Höhe des Anspruchs, soweit er von den Feststellungszielen des Musterverfahrens betroffen ist.</w:t>
      </w:r>
    </w:p>
    <w:p>
      <w:r>
        <w:t xml:space="preserve">Der Beschluss ist unanfechtbar.</w:t>
      </w:r>
    </w:p>
    <w:p>
      <w:r>
        <w:t xml:space="preserve">(3) Die Kläger, die nicht als Musterkläger ausgewählt werden, sind Beigeladene des Musterverfahrens.</w:t>
      </w:r>
    </w:p>
    <w:p>
      <w:r>
        <w:t xml:space="preserve">(4) Das Oberlandesgericht kann den Musterkläger auf Antrag eines Beigeladenen abberufen und einen neuen Musterkläger nach Maßgabe des Absatzes 2 bestimmen, wenn der Musterkläger das Musterverfahren nicht angemessen führt.</w:t>
      </w:r>
    </w:p>
    <w:p>
      <w:r>
        <w:t xml:space="preserve">(5) Musterbeklagte sind alle Beklagten der ausgesetzten Verfahren.</w:t>
      </w:r>
    </w:p>
    <w:p>
      <w:r>
        <w:rPr>
          <w:color w:val="555555"/>
          <w:sz w:val="17"/>
        </w:rPr>
        <w:t xml:space="preserve">Zitiervorschlag: § 9 KapMuG 2012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https://recht.nulegal.eu/gesetze/KapMuG%202012/9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