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KapMuG 2012 — Sperrwirkung des Vorlagebeschlusses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Historische Fassung: Stand 01.01.2024 bis 20.07.2024. Dies ist nicht die aktuelle Fassung.</w:t>
      </w:r>
    </w:p>
    <w:p>
      <w:r>
        <w:t xml:space="preserve">Mit Erlass des Vorlagebeschlusses ist die Einleitung eines weiteren Musterverfahrens für die gemäß § 8 Absatz 1 auszusetzenden Verfahren unzulässig. Ein gleichwohl ergangener Vorlagebeschluss ist nicht bindend.</w:t>
      </w:r>
    </w:p>
    <w:p>
      <w:r>
        <w:rPr>
          <w:color w:val="555555"/>
          <w:sz w:val="17"/>
        </w:rPr>
        <w:t xml:space="preserve">Zitiervorschlag: § 7 KapMuG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https://recht.nulegal.eu/gesetze/KapMuG%202012/7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