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KapMuG 2012 — Zulässigkeit des Musterverfahrensantrags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Historische Fassung: Stand 01.01.2024 bis 20.07.2024. Dies ist nicht die aktuelle Fassung.</w:t>
      </w:r>
    </w:p>
    <w:p>
      <w:r>
        <w:t xml:space="preserve">(1) Das Prozessgericht verwirft den Musterverfahrensantrag durch unanfechtbaren Beschluss als unzulässig, soweit</w:t>
      </w:r>
    </w:p>
    <w:p>
      <w:pPr>
        <w:ind w:left="420"/>
      </w:pPr>
      <w:r>
        <w:t xml:space="preserve">1. die Entscheidung des zugrunde liegenden Rechtsstreits nicht von den geltend gemachten Feststellungszielen abhängt,</w:t>
      </w:r>
    </w:p>
    <w:p>
      <w:pPr>
        <w:ind w:left="420"/>
      </w:pPr>
      <w:r>
        <w:t xml:space="preserve">2. die angegebenen Beweismittel zum Beweis der geltend gemachten Feststellungsziele ungeeignet sind,</w:t>
      </w:r>
    </w:p>
    <w:p>
      <w:pPr>
        <w:ind w:left="420"/>
      </w:pPr>
      <w:r>
        <w:t xml:space="preserve">3. nicht dargelegt ist, dass eine Bedeutung für andere Rechtsstreitigkeiten gegeben ist, oder</w:t>
      </w:r>
    </w:p>
    <w:p>
      <w:pPr>
        <w:ind w:left="420"/>
      </w:pPr>
      <w:r>
        <w:t xml:space="preserve">4. der Musterverfahrensantrag zum Zwecke der Prozessverschleppung gestellt ist.</w:t>
      </w:r>
    </w:p>
    <w:p>
      <w:r>
        <w:t xml:space="preserve">(2) Einen zulässigen Musterverfahrensantrag macht das Prozessgericht im Bundesanzeiger unter der Rubrik „Klageregister nach dem Kapitalanleger-Musterverfahrensgesetz“ (Klageregister) durch unanfechtbaren Beschluss öffentlich bekannt. Die Bekanntmachung enthält nur die folgenden Angaben:</w:t>
      </w:r>
    </w:p>
    <w:p>
      <w:pPr>
        <w:ind w:left="420"/>
      </w:pPr>
      <w:r>
        <w:t xml:space="preserve">1. die vollständige Bezeichnung der Beklagten und ihrer gesetzlichen Vertreter,</w:t>
      </w:r>
    </w:p>
    <w:p>
      <w:pPr>
        <w:ind w:left="420"/>
      </w:pPr>
      <w:r>
        <w:t xml:space="preserve">2. die Bezeichnung des von dem Musterverfahrensantrag betroffenen Emittenten von Wertpapieren oder Anbieters von sonstigen Vermögensanlagen,</w:t>
      </w:r>
    </w:p>
    <w:p>
      <w:pPr>
        <w:ind w:left="420"/>
      </w:pPr>
      <w:r>
        <w:t xml:space="preserve">3. die Bezeichnung des Prozessgerichts,</w:t>
      </w:r>
    </w:p>
    <w:p>
      <w:pPr>
        <w:ind w:left="420"/>
      </w:pPr>
      <w:r>
        <w:t xml:space="preserve">4. das Aktenzeichen des Prozessgerichts,</w:t>
      </w:r>
    </w:p>
    <w:p>
      <w:pPr>
        <w:ind w:left="420"/>
      </w:pPr>
      <w:r>
        <w:t xml:space="preserve">5. die Feststellungsziele des Musterverfahrensantrags,</w:t>
      </w:r>
    </w:p>
    <w:p>
      <w:pPr>
        <w:ind w:left="420"/>
      </w:pPr>
      <w:r>
        <w:t xml:space="preserve">6. eine knappe Darstellung des vorgetragenen Lebenssachverhalts und</w:t>
      </w:r>
    </w:p>
    <w:p>
      <w:pPr>
        <w:ind w:left="420"/>
      </w:pPr>
      <w:r>
        <w:t xml:space="preserve">7. den Zeitpunkt des Eingangs des Musterverfahrensantrags beim Prozessgericht und den Zeitpunkt der Bekanntmachung im Klageregister.</w:t>
      </w:r>
    </w:p>
    <w:p>
      <w:r>
        <w:t xml:space="preserve">(3) Das Prozessgericht soll zulässige Musterverfahrensanträge binnen sechs Monaten nach Eingang des Antrags bekannt machen. Verzögerungen der Bekanntmachung sind durch unanfechtbaren Beschluss zu begründen.</w:t>
      </w:r>
    </w:p>
    <w:p>
      <w:r>
        <w:t xml:space="preserve">(4) Das Prozessgericht kann davon absehen, Musterverfahrensanträge im Klageregister öffentlich bekannt zu machen, wenn die Voraussetzungen zur Einleitung eines Musterverfahrens nach § 6 Absatz 1 Satz 1 bereits vorliegen.</w:t>
      </w:r>
    </w:p>
    <w:p>
      <w:r>
        <w:rPr>
          <w:color w:val="555555"/>
          <w:sz w:val="17"/>
        </w:rPr>
        <w:t xml:space="preserve">Zitiervorschlag: § 3 KapMuG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