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KapMuG 2012 — Außerkrafttreten</w:t>
      </w:r>
    </w:p>
    <w:p>
      <w:r>
        <w:rPr>
          <w:color w:val="555555"/>
          <w:sz w:val="18"/>
        </w:rPr>
        <w:t xml:space="preserve">Kapitalanleger-Musterverfahrensgesetz</w:t>
      </w:r>
    </w:p>
    <w:p>
      <w:r>
        <w:rPr>
          <w:color w:val="555555"/>
          <w:sz w:val="18"/>
        </w:rPr>
        <w:t xml:space="preserve">Historische Fassung: Stand 14.10.2023 bis 20.07.2024. Dies ist nicht die aktuelle Fassung.</w:t>
      </w:r>
    </w:p>
    <w:p>
      <w:r>
        <w:t xml:space="preserve">Dieses Gesetz tritt mit Ablauf des 31. August 2024 außer Kraft.</w:t>
      </w:r>
    </w:p>
    <w:p>
      <w:r>
        <w:rPr>
          <w:color w:val="555555"/>
          <w:sz w:val="17"/>
        </w:rPr>
        <w:t xml:space="preserve">Zitiervorschlag: § 28 KapMuG 2012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https://recht.nulegal.eu/gesetze/KapMuG%202012/28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