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KapMuG 2012 — Musterverfahrensantrag</w:t>
      </w:r>
    </w:p>
    <w:p>
      <w:r>
        <w:rPr>
          <w:color w:val="555555"/>
          <w:sz w:val="18"/>
        </w:rPr>
        <w:t xml:space="preserve">Kapitalanleger-Musterverfahrensgesetz</w:t>
      </w:r>
    </w:p>
    <w:p>
      <w:r>
        <w:rPr>
          <w:color w:val="555555"/>
          <w:sz w:val="18"/>
        </w:rPr>
        <w:t xml:space="preserve">Historische Fassung: Stand 01.01.2024 bis 20.07.2024. Dies ist nicht die aktuelle Fassung.</w:t>
      </w:r>
    </w:p>
    <w:p>
      <w:r>
        <w:t xml:space="preserve">(1) Durch Musterverfahrensantrag kann im ersten Rechtszug die Feststellung des Vorliegens oder Nichtvorliegens anspruchsbegründender oder anspruchsausschließender Voraussetzungen oder die Klärung von Rechtsfragen (Feststellungsziele) begehrt werden. Der Musterverfahrensantrag kann vom Kläger und vom Beklagten gestellt werden.</w:t>
      </w:r>
    </w:p>
    <w:p>
      <w:r>
        <w:t xml:space="preserve">(2) Der Musterverfahrensantrag ist bei dem Prozessgericht unter Angabe der Feststellungsziele und der öffentlichen Kapitalmarktinformationen zu stellen.</w:t>
      </w:r>
    </w:p>
    <w:p>
      <w:r>
        <w:t xml:space="preserve">(3) In dem Antrag sind die zur Begründung dienenden Tatsachen und Beweismittel anzugeben. Der Antragsteller muss darlegen, dass der Entscheidung über die Feststellungsziele im Musterverfahren (Musterentscheid) Bedeutung über den einzelnen Rechtsstreit hinaus für andere gleichgelagerte Rechtsstreitigkeiten zukommen kann.</w:t>
      </w:r>
    </w:p>
    <w:p>
      <w:r>
        <w:t xml:space="preserve">(4) Dem Antragsgegner ist Gelegenheit zur Stellungnahme zu geben.</w:t>
      </w:r>
    </w:p>
    <w:p>
      <w:r>
        <w:rPr>
          <w:color w:val="555555"/>
          <w:sz w:val="17"/>
        </w:rPr>
        <w:t xml:space="preserve">Zitiervorschlag: § 2 KapMuG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https://recht.nulegal.eu/gesetze/KapMuG%202012/2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