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KapMuG 2012 — Genehmigung des Vergleichs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Das Gericht genehmigt den Vergleich durch unanfechtbaren Beschluss, wenn es ihn unter Berücksichtigung des bisherigen Sach- und Streitstandes des Musterverfahrens und des Ergebnisses der Anhörung der Beigeladenen als angemessene gütliche Beilegung der ausgesetzten Rechtsstreitigkeiten erachtet.</w:t>
      </w:r>
    </w:p>
    <w:p>
      <w:r>
        <w:t xml:space="preserve">(2) Nach der Genehmigung kann der Vergleich nicht mehr widerrufen werden.</w:t>
      </w:r>
    </w:p>
    <w:p>
      <w:r>
        <w:rPr>
          <w:color w:val="555555"/>
          <w:sz w:val="17"/>
        </w:rPr>
        <w:t xml:space="preserve">Zitiervorschlag: § 18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