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KapMuG 2012 — Erweiterung des Musterverfahrens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(1) Nach Bekanntmachung des Vorlagebeschlusses gemäß § 6 Absatz 4 erweitert das Oberlandesgericht auf Antrag eines Beteiligten das Musterverfahren durch Beschluss um weitere Feststellungsziele, soweit</w:t>
      </w:r>
    </w:p>
    <w:p>
      <w:pPr>
        <w:ind w:left="420"/>
      </w:pPr>
      <w:r>
        <w:t xml:space="preserve">1. die Entscheidung des zugrunde liegenden Rechtsstreits von den weiteren Feststellungszielen abhängt,</w:t>
      </w:r>
    </w:p>
    <w:p>
      <w:pPr>
        <w:ind w:left="420"/>
      </w:pPr>
      <w:r>
        <w:t xml:space="preserve">2. die Feststellungsziele den gleichen Lebenssachverhalt betreffen, der dem Vorlagebeschluss zugrunde liegt, und</w:t>
      </w:r>
    </w:p>
    <w:p>
      <w:pPr>
        <w:ind w:left="420"/>
      </w:pPr>
      <w:r>
        <w:t xml:space="preserve">3. das Oberlandesgericht die Erweiterung für sachdienlich erachtet.</w:t>
      </w:r>
    </w:p>
    <w:p>
      <w:r>
        <w:t xml:space="preserve">Der Antrag ist beim Oberlandesgericht unter Angabe der Feststellungsziele und der öffentlichen Kapitalmarktinformationen zu stellen.</w:t>
      </w:r>
    </w:p>
    <w:p>
      <w:r>
        <w:t xml:space="preserve">(2) Das Oberlandesgericht macht die Erweiterung des Musterverfahrens im Klageregister öffentlich bekannt.</w:t>
      </w:r>
    </w:p>
    <w:p>
      <w:r>
        <w:rPr>
          <w:color w:val="555555"/>
          <w:sz w:val="17"/>
        </w:rPr>
        <w:t xml:space="preserve">Zitiervorschlag: § 15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