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KapMuG 2012 — Allgemeine Verfahrensregeln; Verordnungsermächtigung</w:t>
      </w:r>
    </w:p>
    <w:p>
      <w:r>
        <w:rPr>
          <w:color w:val="555555"/>
          <w:sz w:val="18"/>
        </w:rPr>
        <w:t xml:space="preserve">Kapitalanleger-Musterverfahrensgesetz</w:t>
      </w:r>
    </w:p>
    <w:p>
      <w:r>
        <w:rPr>
          <w:color w:val="555555"/>
          <w:sz w:val="18"/>
        </w:rPr>
        <w:t xml:space="preserve">Historische Fassung: Stand 01.01.2024 bis 20.07.2024. Dies ist nicht die aktuelle Fassung.</w:t>
      </w:r>
    </w:p>
    <w:p>
      <w:r>
        <w:t xml:space="preserve">(1) Auf das Musterverfahren sind die im ersten Rechtszug für das Verfahren vor den Landgerichten geltenden Vorschriften der Zivilprozessordnung entsprechend anzuwenden, soweit nichts Abweichendes bestimmt ist. § 278 Absatz 2 bis 5 sowie die §§ 306, 348 bis 350 und 379 der Zivilprozessordnung sind nicht anzuwenden. In Beschlüssen müssen die Beigeladenen nicht bezeichnet werden.</w:t>
      </w:r>
    </w:p>
    <w:p>
      <w:r>
        <w:t xml:space="preserve">(2) Die Zustellung von Terminsladungen und Zwischenentscheidungen an Beigeladene kann durch öffentliche Bekanntmachung ersetzt werden. Die öffentliche Bekanntmachung wird durch Eintragung in das Klageregister bewirkt. Zwischen öffentlicher Bekanntmachung und Terminstag müssen mindestens vier Wochen liegen.</w:t>
      </w:r>
    </w:p>
    <w:p>
      <w:r>
        <w:t xml:space="preserve">(3) Die Bundesregierung und die Landesregierungen können für ihren Bereich durch Rechtsverordnung Folgendes bestimmen:</w:t>
      </w:r>
    </w:p>
    <w:p>
      <w:pPr>
        <w:ind w:left="420"/>
      </w:pPr>
      <w:r>
        <w:t xml:space="preserve">1. den Zeitpunkt, von dem an im Musterverfahren elektronische Akten geführt werden, sowie</w:t>
      </w:r>
    </w:p>
    <w:p>
      <w:pPr>
        <w:ind w:left="420"/>
      </w:pPr>
      <w:r>
        <w:t xml:space="preserve">2. die organisatorisch-technischen Rahmenbedingungen für die Bildung, Führung und Aufbewahrung der elektronischen Akten.</w:t>
      </w:r>
    </w:p>
    <w:p>
      <w:r>
        <w:t xml:space="preserve">Die Landesregierungen können die Ermächtigung durch Rechtsverordnung auf die Landesjustizverwaltungen übertragen.</w:t>
      </w:r>
    </w:p>
    <w:p>
      <w:r>
        <w:t xml:space="preserve">(4) Die Bundesregierung und die Landesregierungen können für ihren Bereich durch Rechtsverordnung bestimmen,</w:t>
      </w:r>
    </w:p>
    <w:p>
      <w:pPr>
        <w:ind w:left="420"/>
      </w:pPr>
      <w:r>
        <w:t xml:space="preserve">1. dass im Musterverfahren Schriftsätze als elektronische Dokumente bei Gericht einzureichen sind,</w:t>
      </w:r>
    </w:p>
    <w:p>
      <w:pPr>
        <w:ind w:left="420"/>
      </w:pPr>
      <w:r>
        <w:t xml:space="preserve">2. dass Empfangsbekenntnisse als elektronische Dokumente zurückzusenden sind und</w:t>
      </w:r>
    </w:p>
    <w:p>
      <w:pPr>
        <w:ind w:left="420"/>
      </w:pPr>
      <w:r>
        <w:t xml:space="preserve">3. dass die Beteiligten dafür Sorge zu tragen haben, dass ihnen elektronische Dokumente durch das Gericht zugestellt werden können, sowie</w:t>
      </w:r>
    </w:p>
    <w:p>
      <w:pPr>
        <w:ind w:left="420"/>
      </w:pPr>
      <w:r>
        <w:t xml:space="preserve">4. welche Form für die Bearbeitung der Dokumente geeignet ist.</w:t>
      </w:r>
    </w:p>
    <w:p>
      <w:r>
        <w:t xml:space="preserve">Die Landesregierungen können die Ermächtigung durch Rechtsverordnung auf die Landesjustizverwaltungen übertragen.</w:t>
      </w:r>
    </w:p>
    <w:p>
      <w:r>
        <w:rPr>
          <w:color w:val="555555"/>
          <w:sz w:val="17"/>
        </w:rPr>
        <w:t xml:space="preserve">Zitiervorschlag: § 11 KapMuG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https://recht.nulegal.eu/gesetze/KapMuG%202012/11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