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KapMuG 2012 — Anwendungsbereich</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Dieses Gesetz ist anwendbar in bürgerlichen Rechtsstreitigkeiten, in denen</w:t>
      </w:r>
    </w:p>
    <w:p>
      <w:pPr>
        <w:ind w:left="420"/>
      </w:pPr>
      <w:r>
        <w:t xml:space="preserve">1. ein Schadensersatzanspruch wegen falscher, irreführender oder unterlassener öffentlicher Kapitalmarktinformation,</w:t>
      </w:r>
    </w:p>
    <w:p>
      <w:pPr>
        <w:ind w:left="420"/>
      </w:pPr>
      <w:r>
        <w:t xml:space="preserve">2. ein Schadensersatzanspruch wegen Verwendung einer falschen oder irreführenden öffentlichen Kapitalmarktinformation oder wegen Unterlassung der gebotenen Aufklärung darüber, dass eine öffentliche Kapitalmarktinformation falsch oder irreführend ist, oder</w:t>
      </w:r>
    </w:p>
    <w:p>
      <w:pPr>
        <w:ind w:left="420"/>
      </w:pPr>
      <w:r>
        <w:t xml:space="preserve">3. ein Erfüllungsanspruch aus Vertrag, der auf einem Angebot nach dem Wertpapiererwerbs- und Übernahmegesetz, einschließlich eines Anspruchs nach § 39 Absatz 3 Satz 3 und 4 des Börsengesetzes, beruht,</w:t>
      </w:r>
    </w:p>
    <w:p>
      <w:r>
        <w:t xml:space="preserve">geltend gemacht wird.</w:t>
      </w:r>
    </w:p>
    <w:p>
      <w:r>
        <w:t xml:space="preserve">(2) Öffentliche Kapitalmarktinformationen sind Informationen über Tatsachen, Umstände, Kennzahlen und sonstige Unternehmensdaten, die für eine Vielzahl von Kapitalanlegern bestimmt sind und einen Emittenten von Wertpapieren oder einen Anbieter von sonstigen Vermögensanlagen betreffen. Dies sind insbesondere Angaben in</w:t>
      </w:r>
    </w:p>
    <w:p>
      <w:pPr>
        <w:ind w:left="420"/>
      </w:pPr>
      <w:r>
        <w:t xml:space="preserve">1. Prospekten nach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Wertpapier-Informationsblättern nach dem Wertpapierprospektgesetz und Informationsblättern nach dem Wertpapierhandelsgesetz,</w:t>
      </w:r>
    </w:p>
    <w:p>
      <w:pPr>
        <w:ind w:left="420"/>
      </w:pPr>
      <w:r>
        <w:t xml:space="preserve">2. Verkaufsprospekten, Vermögensanlagen-Informationsblättern und wesentlichen Anlegerinformationen nach dem Verkaufsprospektgesetz, dem Vermögensanlagengesetz, dem Investmentgesetz in der bis zum 21. Juli 2013 geltenden Fassung sowie dem Kapitalanlagegesetzbuch,</w:t>
      </w:r>
    </w:p>
    <w:p>
      <w:pPr>
        <w:ind w:left="420"/>
      </w:pPr>
      <w:r>
        <w:t xml:space="preserve">3. Mitteilungen über Insiderinformationen im Sinne des Artikels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in der jeweils geltenden Fassung und des § 26 des Wertpapierhandelsgesetzes,</w:t>
      </w:r>
    </w:p>
    <w:p>
      <w:pPr>
        <w:ind w:left="420"/>
      </w:pPr>
      <w:r>
        <w:t xml:space="preserve">4. Darstellungen, Übersichten, Vorträgen und Auskünften in der Hauptversammlung über die Verhältnisse der Gesellschaft einschließlich ihrer Beziehungen zu verbundenen Unternehmen im Sinne des § 400 Absatz 1 Nummer 1 des Aktiengesetzes,</w:t>
      </w:r>
    </w:p>
    <w:p>
      <w:pPr>
        <w:ind w:left="420"/>
      </w:pPr>
      <w:r>
        <w:t xml:space="preserve">5. Jahresabschlüssen, Lageberichten, Konzernabschlüssen, Konzernlageberichten sowie Halbjahresfinanzberichten des Emittenten und in</w:t>
      </w:r>
    </w:p>
    <w:p>
      <w:pPr>
        <w:ind w:left="420"/>
      </w:pPr>
      <w:r>
        <w:t xml:space="preserve">6. Angebotsunterlagen im Sinne des § 11 Absatz 1 Satz 1 des Wertpapiererwerbs- und Übernahmegesetzes.</w:t>
      </w:r>
    </w:p>
    <w:p>
      <w:r>
        <w:rPr>
          <w:color w:val="555555"/>
          <w:sz w:val="17"/>
        </w:rPr>
        <w:t xml:space="preserve">Zitiervorschlag: § 1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