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KapErhStG — Anteilsrechte an ausländischen Gesellschaften</w:t>
      </w:r>
    </w:p>
    <w:p>
      <w:r>
        <w:rPr>
          <w:color w:val="555555"/>
          <w:sz w:val="18"/>
        </w:rPr>
        <w:t xml:space="preserve">Gesetz über steuerrechtliche Maßnahmen bei Erhöhung des Nennkapitals aus Gesellschaftsmitteln</w:t>
      </w:r>
    </w:p>
    <w:p>
      <w:r>
        <w:rPr>
          <w:color w:val="555555"/>
          <w:sz w:val="18"/>
        </w:rPr>
        <w:t xml:space="preserve">Stand: 01.01.2023 (konsolidierte Textfassung, kein amtliches Inkrafttretensdatum)</w:t>
      </w:r>
    </w:p>
    <w:p>
      <w:r>
        <w:t xml:space="preserve">(1) § 1 ist auf den Wert neuer Anteilsrechte an ausländischen Gesellschaften anzuwenden, wenn</w:t>
      </w:r>
    </w:p>
    <w:p>
      <w:pPr>
        <w:ind w:left="420"/>
      </w:pPr>
      <w:r>
        <w:t xml:space="preserve">1. die ausländische Gesellschaft einer Aktiengesellschaft, einer Kommanditgesellschaft auf Aktien oder einer Gesellschaft mit beschränkter Haftung vergleichbar ist,</w:t>
      </w:r>
    </w:p>
    <w:p>
      <w:pPr>
        <w:ind w:left="420"/>
      </w:pPr>
      <w:r>
        <w:t xml:space="preserve">2. die neuen Anteilsrechte auf Maßnahmen beruhen, die eine Kapitalerhöhung aus Gesellschaftsmitteln nach den Vorschriften der §§ 207 bis 220 des Aktiengesetzes oder nach den Vorschriften des Gesetzes über die Kapitalerhöhung aus Gesellschaftsmitteln und über die Gewinn- und Verlustrechnung vom 23. Dezember 1959 (Bundesgesetzbl. I S. 789), zuletzt geändert durch das Einführungsgesetz zum Strafgesetzbuch vom 2. März 1974 (Bundesgesetzbl. I S. 469), entsprechen und</w:t>
      </w:r>
    </w:p>
    <w:p>
      <w:pPr>
        <w:ind w:left="420"/>
      </w:pPr>
      <w:r>
        <w:t xml:space="preserve">3. die neuen Anteilsrechte wirtschaftlich den Anteilsrechten entsprechen, die nach den in Nummer 2 bezeichneten Vorschriften ausgegeben werden.</w:t>
      </w:r>
    </w:p>
    <w:p>
      <w:r>
        <w:t xml:space="preserve">Der Erwerber der Anteilsrechte oder die ausländische Gesellschaft haben nachzuweisen, daß die Voraussetzungen der Nummern 1 bis 3 erfüllt sind. Zuständig für die Prüfung nach den Sätzen 1 und 2 ist die Finanzbehörde, die im Zeitpunkt der Antragstellung nach § 20 der Abgabenordnung für die Besteuerung der ausländischen Gesellschaft nach dem Einkommen örtlich zuständig ist. Ist im Zeitpunkt der Antragstellung nach § 20 der Abgabenordnung keine Finanzbehörde zuständig, ist das Bundeszentralamt für Steuern zuständig.</w:t>
      </w:r>
    </w:p>
    <w:p>
      <w:r>
        <w:t xml:space="preserve">(2) (weggefallen)</w:t>
      </w:r>
    </w:p>
    <w:p>
      <w:r>
        <w:rPr>
          <w:color w:val="555555"/>
          <w:sz w:val="17"/>
        </w:rPr>
        <w:t xml:space="preserve">Zitiervorschlag: § 7 KapErhStG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https://recht.nulegal.eu/gesetze/KapErhStG/7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