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KapErhStG</w:t>
      </w:r>
    </w:p>
    <w:p>
      <w:r>
        <w:rPr>
          <w:color w:val="555555"/>
          <w:sz w:val="18"/>
        </w:rPr>
        <w:t xml:space="preserve">Gesetz über steuerrechtliche Maßnahmen bei Erhöhung des Nennkapitals aus Gesellschaftsmitteln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KapErhStG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https://recht.nulegal.eu/gesetze/KapErhStG/6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