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KapErhStG — Anschaffungskosten nach Kapitalerhöhung</w:t>
      </w:r>
    </w:p>
    <w:p>
      <w:r>
        <w:rPr>
          <w:color w:val="555555"/>
          <w:sz w:val="18"/>
        </w:rPr>
        <w:t xml:space="preserve">Gesetz über steuerrechtliche Maßnahmen bei Erhöhung des Nennkapitals aus Gesellschaftsmitteln</w:t>
      </w:r>
    </w:p>
    <w:p>
      <w:r>
        <w:rPr>
          <w:color w:val="555555"/>
          <w:sz w:val="18"/>
        </w:rPr>
        <w:t xml:space="preserve">Stand: 10.06.2019 (konsolidierte Textfassung, kein amtliches Inkrafttretensdatum)</w:t>
      </w:r>
    </w:p>
    <w:p>
      <w:r>
        <w:t xml:space="preserve">Als Anschaffungskosten der vor der Erhöhung des Nennkapitals erworbenen Anteilsrechte und der auf sie entfallenen neuen Anteilsrechte gelten die Beträge, die sich für die einzelnen Anteilsrechte ergeben, wenn die Anschaffungskosten der vor der Erhöhung des Nennkapitals erworbenen Anteilsrechte auf diese und auf die auf sie entfallenen neuen Anteilsrechte nach dem Verhältnis der Anteile am Nennkapital verteilt werden.</w:t>
      </w:r>
    </w:p>
    <w:p>
      <w:r>
        <w:rPr>
          <w:color w:val="555555"/>
          <w:sz w:val="17"/>
        </w:rPr>
        <w:t xml:space="preserve">Zitiervorschlag: § 3 KapErhStG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https://recht.nulegal.eu/gesetze/KapErhStG/3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