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KapAusstV 2016 — Solvabilitätskapitalanforderung</w:t>
      </w:r>
    </w:p>
    <w:p>
      <w:r>
        <w:rPr>
          <w:color w:val="555555"/>
          <w:sz w:val="18"/>
        </w:rPr>
        <w:t xml:space="preserve">Kapitalausstattungs-Verordnung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Höhe der Solvabilitätskapitalanforderung ergibt sich vorbehaltlich des Absatzes 2 als Maximum des Beitragsindexes nach § 3 und des Schadenindexes nach § 4.</w:t>
      </w:r>
    </w:p>
    <w:p>
      <w:r>
        <w:t xml:space="preserve">(2) Ist das nach Absatz 1 gebildete Maximum niedriger als die Solvabilitätskapitalanforderung des Vorjahres, so entspricht die Solvabilitätskapitalanforderung mindestens dem Betrag, der sich ergibt, wenn die Solvabilitätskapitalanforderung des Vorjahres vervielfacht wird mit dem Quotienten aus</w:t>
      </w:r>
    </w:p>
    <w:p>
      <w:pPr>
        <w:ind w:left="420"/>
      </w:pPr>
      <w:r>
        <w:t xml:space="preserve">1. dem höheren Wert aus der Nettorückstellung für noch nicht abgewickelte Versicherungsfälle und 50 Prozent der Bruttorückstellung für noch nicht abgewickelte Versicherungsfälle am Ende des letzten Geschäftsjahres und</w:t>
      </w:r>
    </w:p>
    <w:p>
      <w:pPr>
        <w:ind w:left="420"/>
      </w:pPr>
      <w:r>
        <w:t xml:space="preserve">2. dem höheren Wert aus der Nettorückstellung für noch nicht abgewickelte Versicherungsfälle und 50 Prozent der Bruttorückstellung für noch nicht abgewickelte Versicherungsfälle zu Beginn des letzten Geschäftsjahres.</w:t>
      </w:r>
    </w:p>
    <w:p>
      <w:r>
        <w:t xml:space="preserve">Der Quotient darf dabei höchstens mit 1 angesetzt werden.</w:t>
      </w:r>
    </w:p>
    <w:p>
      <w:r>
        <w:rPr>
          <w:color w:val="555555"/>
          <w:sz w:val="17"/>
        </w:rPr>
        <w:t xml:space="preserve">Zitiervorschlag: § 2 KapAusstV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https://recht.nulegal.eu/gesetze/KapAusstV%202016/2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