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KapAusstV 2016 — Tontinengeschäfte</w:t>
      </w:r>
    </w:p>
    <w:p>
      <w:r>
        <w:rPr>
          <w:color w:val="555555"/>
          <w:sz w:val="18"/>
        </w:rPr>
        <w:t xml:space="preserve">Kapitalausstattungs-Verordnung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Bei Tontinengeschäften beträgt die Solvabilitätskapitalanforderung 1 Prozent des Vermögens der Gemeinschaften.</w:t>
      </w:r>
    </w:p>
    <w:p>
      <w:r>
        <w:rPr>
          <w:color w:val="555555"/>
          <w:sz w:val="17"/>
        </w:rPr>
        <w:t xml:space="preserve">Zitiervorschlag: § 13 KapAusstV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https://recht.nulegal.eu/gesetze/KapAusstV%202016/13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