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KanalStTO 2010</w:t>
      </w:r>
    </w:p>
    <w:p>
      <w:r>
        <w:rPr>
          <w:color w:val="555555"/>
          <w:sz w:val="18"/>
        </w:rPr>
        <w:t xml:space="preserve">Kanalsteurertarifverordnung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14 Absatz 2 in Verbindung mit Absatz 3 Satz 1 des Seeaufgabengesetzes in der Fassung der Bekanntmachung vom 26. Juli 2002 (BGBl. I S. 2876), von denen § 14 Absatz 2 durch Artikel 319 der Verordnung vom 31. Oktober 2006 (BGBl. I S. 2407) geändert worden ist, verordnet das Bundesministerium für Verkehr, Bau und Stadtentwicklung nach Anhörung der Küstenländer:</w:t>
      </w:r>
    </w:p>
    <w:p>
      <w:r>
        <w:rPr>
          <w:color w:val="555555"/>
          <w:sz w:val="17"/>
        </w:rPr>
        <w:t xml:space="preserve">Zitiervorschlag: Eingangsformel KanalStTO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https://recht.nulegal.eu/gesetze/KanalStTO%202010/eingangsformel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