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KanalStTO 2010 — Inkrafttreten, Außerkrafttreten</w:t>
      </w:r>
    </w:p>
    <w:p>
      <w:r>
        <w:rPr>
          <w:color w:val="555555"/>
          <w:sz w:val="18"/>
        </w:rPr>
        <w:t xml:space="preserve">Kanalsteurertarifverordnung</w:t>
      </w:r>
    </w:p>
    <w:p>
      <w:r>
        <w:rPr>
          <w:color w:val="555555"/>
          <w:sz w:val="18"/>
        </w:rPr>
        <w:t xml:space="preserve">Stand: 10.06.2019 (konsolidierte Textfassung, kein amtliches Inkrafttretensdatum)</w:t>
      </w:r>
    </w:p>
    <w:p>
      <w:r>
        <w:t xml:space="preserve">Diese Verordnung tritt am 1. November 2010 in Kraft. Gleichzeitig tritt die Kanalsteurertarifordnung vom 29. März 1977 (BAnz. Nr. 63 vom 31. März 1977), die zuletzt durch die Verordnung vom 25. August 2004 (BAnz. S. 19493) geändert worden ist, außer Kraft.</w:t>
      </w:r>
    </w:p>
    <w:p>
      <w:r>
        <w:rPr>
          <w:color w:val="555555"/>
          <w:sz w:val="17"/>
        </w:rPr>
        <w:t xml:space="preserve">Zitiervorschlag: § 2 KanalStTO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https://recht.nulegal.eu/gesetze/KanalStTO%202010/2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