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KampfmV (Brandenburg) — Anzeigepflicht</w:t>
      </w:r>
    </w:p>
    <w:p>
      <w:r>
        <w:rPr>
          <w:color w:val="555555"/>
          <w:sz w:val="18"/>
        </w:rPr>
        <w:t xml:space="preserve">Kampfmittelverordnung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Jede Person, die Kampfmittel entdeckt oder in Besitz hat, ist verpflichtet, dies unverzüglich der örtlichen Ordnungsbehörde oder der Polizei anzuzeigen. Satz 1 gilt auch bei Kenntnis von Fund- oder Lagerstätten, an denen vergrabene, verschüttete oder überflutete Kampfmittel liegen.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KampfmV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https://recht.nulegal.eu/gesetze/KampfmV/2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