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KampfmV (Brandenburg) — Anwendungsbereich und Begriffsbestimmungen</w:t>
      </w:r>
    </w:p>
    <w:p>
      <w:r>
        <w:rPr>
          <w:color w:val="555555"/>
          <w:sz w:val="18"/>
        </w:rPr>
        <w:t xml:space="preserve">Kampfmittelverordnung für das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Diese Verordnung dient der Abwehr von Gefahren, die von Kampfmitteln ausgehen.</w:t>
      </w:r>
    </w:p>
    <w:p>
      <w:r>
        <w:t xml:space="preserve">(2) Kampfmittel sind gewahrsamslos gewordene, zur Kriegsführung bestimmte Gegenstände militärischer Herkunft und Teile solcher Gegenstände, die</w:t>
      </w:r>
    </w:p>
    <w:p>
      <w:r>
        <w:t xml:space="preserve">explosionsgefährliche Stoffe oder Rückstände dieser Stoffe enthalten oder aus explosionsgefährlichen Stoffen oder deren Rückständen bestehen, beispielsweise Gewehrpatronen, Granaten, Bomben, Zünder, Minen, Spreng- und Zündmittel,</w:t>
      </w:r>
    </w:p>
    <w:p>
      <w:r>
        <w:t xml:space="preserve">laborierte Kampf-, Nebel-, Brand- und Reizstoffe oder Rückstände dieser Stoffe enthalten,</w:t>
      </w:r>
    </w:p>
    <w:p>
      <w:r>
        <w:t xml:space="preserve">Munition sind und keine explosionsgefährlichen Stoffe enthalten, insbesondere Zünder und Zündsysteme, Exerziermunition, Granaten- und Bombenkörper ohne Füllung, oder</w:t>
      </w:r>
    </w:p>
    <w:p>
      <w:r>
        <w:t xml:space="preserve">Kriegswaffen oder wesentliche Teile von Kriegswaffen sind.</w:t>
      </w:r>
    </w:p>
    <w:p>
      <w:r>
        <w:t xml:space="preserve">(3) Diese Verordnung gilt nicht für Maßnahmen der Polizei, der Bundeswehr und der Zollverwaltung.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 KampfmV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https://recht.nulegal.eu/gesetze/KampfmV/1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