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KakaoV 2003</w:t>
      </w:r>
    </w:p>
    <w:p>
      <w:r>
        <w:rPr>
          <w:color w:val="555555"/>
          <w:sz w:val="18"/>
        </w:rPr>
        <w:t xml:space="preserve">Kakaoverordnung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Verbraucherschutz, Ernährung und Landwirtschaft verordnet auf Grund des § 19 Abs. 1 Nr. 1 und 2 Buchstabe b, Nr. 3 und 4 Buchstabe a, b und c des Lebensmittel- und Bedarfsgegenständegesetzes in der Fassung der Bekanntmachung vom 9. September 1997 (BGBl. I S. 2296), der durch Artikel 34 Nr. 1 der Verordnung vom 25. November 2003 (BGBl. I S. 2304) geändert worden ist, im Einvernehmen mit dem Bundesministerium für Wirtschaft und Arbeit:</w:t>
      </w:r>
    </w:p>
    <w:p>
      <w:r>
        <w:rPr>
          <w:color w:val="555555"/>
          <w:sz w:val="17"/>
        </w:rPr>
        <w:t xml:space="preserve">Zitiervorschlag: Eingangsformel KakaoV 2003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https://recht.nulegal.eu/gesetze/KakaoV%202003/eingangsformel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